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CA5D7">
      <w:pPr>
        <w:spacing w:line="560" w:lineRule="exact"/>
        <w:jc w:val="center"/>
        <w:rPr>
          <w:rFonts w:ascii="华光标题宋_CNKI" w:hAnsi="华光标题宋_CNKI" w:eastAsia="华光标题宋_CNKI"/>
          <w:sz w:val="44"/>
          <w:szCs w:val="44"/>
        </w:rPr>
      </w:pPr>
      <w:bookmarkStart w:id="0" w:name="_GoBack"/>
      <w:bookmarkEnd w:id="0"/>
      <w:r>
        <w:rPr>
          <w:rFonts w:hint="eastAsia" w:ascii="华光标题宋_CNKI" w:hAnsi="华光标题宋_CNKI" w:eastAsia="华光标题宋_CNKI"/>
          <w:sz w:val="44"/>
          <w:szCs w:val="44"/>
        </w:rPr>
        <w:t>能源电力创新研究院2025年接收推荐</w:t>
      </w:r>
    </w:p>
    <w:p w14:paraId="53E6F719">
      <w:pPr>
        <w:spacing w:line="560" w:lineRule="exact"/>
        <w:jc w:val="center"/>
        <w:rPr>
          <w:rFonts w:ascii="华光标题宋_CNKI" w:hAnsi="华光标题宋_CNKI" w:eastAsia="华光标题宋_CNKI"/>
          <w:sz w:val="44"/>
          <w:szCs w:val="44"/>
        </w:rPr>
      </w:pPr>
      <w:r>
        <w:rPr>
          <w:rFonts w:hint="eastAsia" w:ascii="华光标题宋_CNKI" w:hAnsi="华光标题宋_CNKI" w:eastAsia="华光标题宋_CNKI"/>
          <w:sz w:val="44"/>
          <w:szCs w:val="44"/>
        </w:rPr>
        <w:t>免试研究生办法</w:t>
      </w:r>
    </w:p>
    <w:p w14:paraId="5B6F89E6">
      <w:pPr>
        <w:spacing w:line="560" w:lineRule="exact"/>
        <w:ind w:firstLine="640" w:firstLineChars="200"/>
        <w:rPr>
          <w:rFonts w:ascii="仿宋_GB2312" w:eastAsia="仿宋_GB2312"/>
          <w:sz w:val="32"/>
          <w:szCs w:val="32"/>
        </w:rPr>
      </w:pPr>
    </w:p>
    <w:p w14:paraId="5349024B">
      <w:pPr>
        <w:spacing w:line="560" w:lineRule="exact"/>
        <w:ind w:firstLine="640" w:firstLineChars="200"/>
        <w:rPr>
          <w:rFonts w:ascii="仿宋_GB2312" w:eastAsia="仿宋_GB2312"/>
          <w:sz w:val="32"/>
          <w:szCs w:val="32"/>
        </w:rPr>
      </w:pPr>
      <w:r>
        <w:rPr>
          <w:rFonts w:hint="eastAsia" w:ascii="仿宋_GB2312" w:eastAsia="仿宋_GB2312"/>
          <w:sz w:val="32"/>
          <w:szCs w:val="32"/>
        </w:rPr>
        <w:t>根据华北电力大学研究生院相关文件精神，制定我院2025年接收推荐免试研究生（含全日制硕士研究生和直博生）办法。</w:t>
      </w:r>
    </w:p>
    <w:p w14:paraId="0C2FF283">
      <w:pPr>
        <w:spacing w:line="560" w:lineRule="exact"/>
        <w:ind w:firstLine="640" w:firstLineChars="200"/>
        <w:rPr>
          <w:rFonts w:ascii="黑体" w:hAnsi="黑体" w:eastAsia="黑体"/>
          <w:sz w:val="32"/>
          <w:szCs w:val="32"/>
        </w:rPr>
      </w:pPr>
      <w:r>
        <w:rPr>
          <w:rFonts w:hint="eastAsia" w:ascii="黑体" w:hAnsi="黑体" w:eastAsia="黑体"/>
          <w:sz w:val="32"/>
          <w:szCs w:val="32"/>
        </w:rPr>
        <w:t>一、招收专业及申请条件</w:t>
      </w:r>
    </w:p>
    <w:p w14:paraId="1487BF73">
      <w:pPr>
        <w:spacing w:line="560" w:lineRule="exact"/>
        <w:ind w:firstLine="640" w:firstLineChars="200"/>
        <w:rPr>
          <w:rFonts w:ascii="仿宋_GB2312" w:eastAsia="仿宋_GB2312"/>
          <w:sz w:val="32"/>
          <w:szCs w:val="32"/>
        </w:rPr>
      </w:pPr>
      <w:r>
        <w:rPr>
          <w:rFonts w:hint="eastAsia" w:ascii="仿宋_GB2312" w:eastAsia="仿宋_GB2312"/>
          <w:sz w:val="32"/>
          <w:szCs w:val="32"/>
        </w:rPr>
        <w:t>（一）拟招生专业和指标</w:t>
      </w:r>
    </w:p>
    <w:p w14:paraId="201C33E7">
      <w:pPr>
        <w:spacing w:line="560" w:lineRule="exact"/>
        <w:rPr>
          <w:rFonts w:ascii="仿宋_GB2312" w:eastAsia="仿宋_GB2312"/>
          <w:sz w:val="32"/>
          <w:szCs w:val="32"/>
        </w:rPr>
      </w:pPr>
      <w:r>
        <w:rPr>
          <w:rFonts w:hint="eastAsia" w:ascii="仿宋_GB2312" w:eastAsia="仿宋_GB2312"/>
          <w:sz w:val="32"/>
          <w:szCs w:val="32"/>
        </w:rPr>
        <w:t>1.直博生</w:t>
      </w:r>
    </w:p>
    <w:tbl>
      <w:tblPr>
        <w:tblStyle w:val="4"/>
        <w:tblW w:w="8416"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1578"/>
        <w:gridCol w:w="3146"/>
        <w:gridCol w:w="2365"/>
        <w:gridCol w:w="1327"/>
      </w:tblGrid>
      <w:tr w14:paraId="0E1CC06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89" w:hRule="atLeast"/>
        </w:trPr>
        <w:tc>
          <w:tcPr>
            <w:tcW w:w="1578" w:type="dxa"/>
            <w:tcBorders>
              <w:top w:val="single" w:color="CCCCCC" w:sz="6" w:space="0"/>
              <w:left w:val="single" w:color="CCCCCC" w:sz="6" w:space="0"/>
              <w:bottom w:val="single" w:color="CCCCCC" w:sz="6" w:space="0"/>
              <w:right w:val="single" w:color="CCCCCC" w:sz="6" w:space="0"/>
            </w:tcBorders>
            <w:tcMar>
              <w:top w:w="30" w:type="dxa"/>
              <w:left w:w="101" w:type="dxa"/>
              <w:bottom w:w="30" w:type="dxa"/>
              <w:right w:w="101" w:type="dxa"/>
            </w:tcMar>
            <w:vAlign w:val="bottom"/>
          </w:tcPr>
          <w:p w14:paraId="3A248969">
            <w:pPr>
              <w:spacing w:line="560" w:lineRule="exact"/>
              <w:rPr>
                <w:rFonts w:ascii="仿宋_GB2312" w:eastAsia="仿宋_GB2312"/>
                <w:sz w:val="32"/>
                <w:szCs w:val="32"/>
              </w:rPr>
            </w:pPr>
            <w:r>
              <w:rPr>
                <w:rFonts w:hint="eastAsia" w:ascii="仿宋_GB2312" w:eastAsia="仿宋_GB2312"/>
                <w:sz w:val="32"/>
                <w:szCs w:val="32"/>
              </w:rPr>
              <w:t>专业代码</w:t>
            </w:r>
          </w:p>
        </w:tc>
        <w:tc>
          <w:tcPr>
            <w:tcW w:w="3146" w:type="dxa"/>
            <w:tcBorders>
              <w:top w:val="single" w:color="CCCCCC" w:sz="6" w:space="0"/>
              <w:left w:val="single" w:color="CCCCCC" w:sz="6" w:space="0"/>
              <w:bottom w:val="single" w:color="CCCCCC" w:sz="6" w:space="0"/>
              <w:right w:val="single" w:color="CCCCCC" w:sz="6" w:space="0"/>
            </w:tcBorders>
            <w:tcMar>
              <w:top w:w="30" w:type="dxa"/>
              <w:left w:w="108" w:type="dxa"/>
              <w:bottom w:w="30" w:type="dxa"/>
              <w:right w:w="101" w:type="dxa"/>
            </w:tcMar>
            <w:vAlign w:val="bottom"/>
          </w:tcPr>
          <w:p w14:paraId="5066371D">
            <w:pPr>
              <w:spacing w:line="560" w:lineRule="exact"/>
              <w:rPr>
                <w:rFonts w:ascii="仿宋_GB2312" w:eastAsia="仿宋_GB2312"/>
                <w:sz w:val="32"/>
                <w:szCs w:val="32"/>
              </w:rPr>
            </w:pPr>
            <w:r>
              <w:rPr>
                <w:rFonts w:hint="eastAsia" w:ascii="仿宋_GB2312" w:eastAsia="仿宋_GB2312"/>
                <w:sz w:val="32"/>
                <w:szCs w:val="32"/>
              </w:rPr>
              <w:t>专业名称</w:t>
            </w:r>
          </w:p>
        </w:tc>
        <w:tc>
          <w:tcPr>
            <w:tcW w:w="2365" w:type="dxa"/>
            <w:tcBorders>
              <w:top w:val="single" w:color="CCCCCC" w:sz="6" w:space="0"/>
              <w:left w:val="single" w:color="CCCCCC" w:sz="6" w:space="0"/>
              <w:bottom w:val="single" w:color="CCCCCC" w:sz="6" w:space="0"/>
              <w:right w:val="single" w:color="CCCCCC" w:sz="6" w:space="0"/>
            </w:tcBorders>
            <w:tcMar>
              <w:top w:w="30" w:type="dxa"/>
              <w:left w:w="108" w:type="dxa"/>
              <w:bottom w:w="30" w:type="dxa"/>
              <w:right w:w="101" w:type="dxa"/>
            </w:tcMar>
            <w:vAlign w:val="bottom"/>
          </w:tcPr>
          <w:p w14:paraId="58ECE5AD">
            <w:pPr>
              <w:spacing w:line="560" w:lineRule="exact"/>
              <w:rPr>
                <w:rFonts w:ascii="仿宋_GB2312" w:eastAsia="仿宋_GB2312"/>
                <w:sz w:val="32"/>
                <w:szCs w:val="32"/>
              </w:rPr>
            </w:pPr>
            <w:r>
              <w:rPr>
                <w:rFonts w:hint="eastAsia" w:ascii="仿宋_GB2312" w:eastAsia="仿宋_GB2312"/>
                <w:sz w:val="32"/>
                <w:szCs w:val="32"/>
              </w:rPr>
              <w:t>类型</w:t>
            </w:r>
          </w:p>
        </w:tc>
        <w:tc>
          <w:tcPr>
            <w:tcW w:w="1327" w:type="dxa"/>
            <w:tcBorders>
              <w:top w:val="single" w:color="CCCCCC" w:sz="6" w:space="0"/>
              <w:left w:val="single" w:color="CCCCCC" w:sz="6" w:space="0"/>
              <w:bottom w:val="single" w:color="CCCCCC" w:sz="6" w:space="0"/>
              <w:right w:val="single" w:color="CCCCCC" w:sz="6" w:space="0"/>
            </w:tcBorders>
            <w:tcMar>
              <w:top w:w="30" w:type="dxa"/>
              <w:left w:w="108" w:type="dxa"/>
              <w:bottom w:w="30" w:type="dxa"/>
              <w:right w:w="101" w:type="dxa"/>
            </w:tcMar>
            <w:vAlign w:val="bottom"/>
          </w:tcPr>
          <w:p w14:paraId="30CD3E46">
            <w:pPr>
              <w:spacing w:line="560" w:lineRule="exact"/>
              <w:rPr>
                <w:rFonts w:ascii="仿宋_GB2312" w:eastAsia="仿宋_GB2312"/>
                <w:sz w:val="32"/>
                <w:szCs w:val="32"/>
              </w:rPr>
            </w:pPr>
            <w:r>
              <w:rPr>
                <w:rFonts w:hint="eastAsia" w:ascii="仿宋_GB2312" w:eastAsia="仿宋_GB2312"/>
                <w:sz w:val="32"/>
                <w:szCs w:val="32"/>
              </w:rPr>
              <w:t>人数</w:t>
            </w:r>
          </w:p>
        </w:tc>
      </w:tr>
      <w:tr w14:paraId="36592DE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89" w:hRule="atLeast"/>
        </w:trPr>
        <w:tc>
          <w:tcPr>
            <w:tcW w:w="1578" w:type="dxa"/>
            <w:tcBorders>
              <w:top w:val="single" w:color="CCCCCC" w:sz="6" w:space="0"/>
              <w:left w:val="single" w:color="CCCCCC" w:sz="6" w:space="0"/>
              <w:bottom w:val="single" w:color="CCCCCC" w:sz="6" w:space="0"/>
              <w:right w:val="single" w:color="CCCCCC" w:sz="6" w:space="0"/>
            </w:tcBorders>
            <w:shd w:val="clear" w:color="auto" w:fill="auto"/>
            <w:tcMar>
              <w:top w:w="30" w:type="dxa"/>
              <w:left w:w="101" w:type="dxa"/>
              <w:bottom w:w="30" w:type="dxa"/>
              <w:right w:w="101" w:type="dxa"/>
            </w:tcMar>
            <w:vAlign w:val="center"/>
          </w:tcPr>
          <w:p w14:paraId="5DB88DCE">
            <w:pPr>
              <w:spacing w:line="560" w:lineRule="exact"/>
              <w:rPr>
                <w:rFonts w:ascii="仿宋_GB2312" w:eastAsia="仿宋_GB2312"/>
                <w:sz w:val="32"/>
                <w:szCs w:val="32"/>
              </w:rPr>
            </w:pPr>
            <w:r>
              <w:rPr>
                <w:rFonts w:hint="eastAsia" w:ascii="仿宋_GB2312" w:eastAsia="仿宋_GB2312"/>
                <w:sz w:val="32"/>
                <w:szCs w:val="32"/>
              </w:rPr>
              <w:t>0807J1</w:t>
            </w:r>
          </w:p>
        </w:tc>
        <w:tc>
          <w:tcPr>
            <w:tcW w:w="3146" w:type="dxa"/>
            <w:tcBorders>
              <w:top w:val="single" w:color="CCCCCC" w:sz="6" w:space="0"/>
              <w:left w:val="single" w:color="CCCCCC" w:sz="6" w:space="0"/>
              <w:bottom w:val="single" w:color="CCCCCC" w:sz="6" w:space="0"/>
              <w:right w:val="single" w:color="CCCCCC" w:sz="6" w:space="0"/>
            </w:tcBorders>
            <w:shd w:val="clear" w:color="auto" w:fill="auto"/>
            <w:tcMar>
              <w:top w:w="30" w:type="dxa"/>
              <w:left w:w="108" w:type="dxa"/>
              <w:bottom w:w="30" w:type="dxa"/>
              <w:right w:w="101" w:type="dxa"/>
            </w:tcMar>
            <w:vAlign w:val="center"/>
          </w:tcPr>
          <w:p w14:paraId="3427CD2D">
            <w:pPr>
              <w:spacing w:line="560" w:lineRule="exact"/>
              <w:rPr>
                <w:rFonts w:ascii="仿宋_GB2312" w:eastAsia="仿宋_GB2312"/>
                <w:sz w:val="32"/>
                <w:szCs w:val="32"/>
              </w:rPr>
            </w:pPr>
            <w:r>
              <w:rPr>
                <w:rFonts w:hint="eastAsia" w:ascii="仿宋_GB2312" w:eastAsia="仿宋_GB2312"/>
                <w:sz w:val="32"/>
                <w:szCs w:val="32"/>
              </w:rPr>
              <w:t>储能科学与工程</w:t>
            </w:r>
          </w:p>
        </w:tc>
        <w:tc>
          <w:tcPr>
            <w:tcW w:w="2365" w:type="dxa"/>
            <w:tcBorders>
              <w:top w:val="single" w:color="CCCCCC" w:sz="6" w:space="0"/>
              <w:left w:val="single" w:color="CCCCCC" w:sz="6" w:space="0"/>
              <w:bottom w:val="single" w:color="CCCCCC" w:sz="6" w:space="0"/>
              <w:right w:val="single" w:color="CCCCCC" w:sz="6" w:space="0"/>
            </w:tcBorders>
            <w:shd w:val="clear" w:color="auto" w:fill="auto"/>
            <w:tcMar>
              <w:top w:w="30" w:type="dxa"/>
              <w:left w:w="108" w:type="dxa"/>
              <w:bottom w:w="30" w:type="dxa"/>
              <w:right w:w="101" w:type="dxa"/>
            </w:tcMar>
            <w:vAlign w:val="center"/>
          </w:tcPr>
          <w:p w14:paraId="6B09A65E">
            <w:pPr>
              <w:spacing w:line="560" w:lineRule="exact"/>
              <w:rPr>
                <w:rFonts w:ascii="仿宋_GB2312" w:eastAsia="仿宋_GB2312"/>
                <w:sz w:val="32"/>
                <w:szCs w:val="32"/>
              </w:rPr>
            </w:pPr>
            <w:r>
              <w:rPr>
                <w:rFonts w:hint="eastAsia" w:ascii="仿宋_GB2312" w:eastAsia="仿宋_GB2312"/>
                <w:sz w:val="32"/>
                <w:szCs w:val="32"/>
              </w:rPr>
              <w:t>学术型</w:t>
            </w:r>
          </w:p>
        </w:tc>
        <w:tc>
          <w:tcPr>
            <w:tcW w:w="1327" w:type="dxa"/>
            <w:tcBorders>
              <w:top w:val="single" w:color="CCCCCC" w:sz="6" w:space="0"/>
              <w:left w:val="single" w:color="CCCCCC" w:sz="6" w:space="0"/>
              <w:bottom w:val="single" w:color="CCCCCC" w:sz="6" w:space="0"/>
              <w:right w:val="single" w:color="CCCCCC" w:sz="6" w:space="0"/>
            </w:tcBorders>
            <w:shd w:val="clear" w:color="auto" w:fill="auto"/>
            <w:tcMar>
              <w:top w:w="30" w:type="dxa"/>
              <w:left w:w="108" w:type="dxa"/>
              <w:bottom w:w="30" w:type="dxa"/>
              <w:right w:w="101" w:type="dxa"/>
            </w:tcMar>
            <w:vAlign w:val="center"/>
          </w:tcPr>
          <w:p w14:paraId="6703C283">
            <w:pPr>
              <w:spacing w:line="560" w:lineRule="exact"/>
              <w:rPr>
                <w:rFonts w:ascii="仿宋_GB2312" w:eastAsia="仿宋_GB2312"/>
                <w:sz w:val="32"/>
                <w:szCs w:val="32"/>
              </w:rPr>
            </w:pPr>
            <w:r>
              <w:rPr>
                <w:rFonts w:ascii="仿宋_GB2312" w:eastAsia="仿宋_GB2312"/>
                <w:sz w:val="32"/>
                <w:szCs w:val="32"/>
              </w:rPr>
              <w:t>2</w:t>
            </w:r>
          </w:p>
        </w:tc>
      </w:tr>
      <w:tr w14:paraId="0453EB9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89" w:hRule="atLeast"/>
        </w:trPr>
        <w:tc>
          <w:tcPr>
            <w:tcW w:w="1578" w:type="dxa"/>
            <w:tcBorders>
              <w:top w:val="single" w:color="CCCCCC" w:sz="6" w:space="0"/>
              <w:left w:val="single" w:color="CCCCCC" w:sz="6" w:space="0"/>
              <w:bottom w:val="single" w:color="CCCCCC" w:sz="6" w:space="0"/>
              <w:right w:val="single" w:color="CCCCCC" w:sz="6" w:space="0"/>
            </w:tcBorders>
            <w:shd w:val="clear" w:color="auto" w:fill="auto"/>
            <w:tcMar>
              <w:top w:w="30" w:type="dxa"/>
              <w:left w:w="101" w:type="dxa"/>
              <w:bottom w:w="30" w:type="dxa"/>
              <w:right w:w="101" w:type="dxa"/>
            </w:tcMar>
            <w:vAlign w:val="center"/>
          </w:tcPr>
          <w:p w14:paraId="5E5A53CE">
            <w:pPr>
              <w:spacing w:line="560" w:lineRule="exact"/>
              <w:rPr>
                <w:rFonts w:ascii="仿宋_GB2312" w:eastAsia="仿宋_GB2312"/>
                <w:sz w:val="32"/>
                <w:szCs w:val="32"/>
              </w:rPr>
            </w:pPr>
            <w:r>
              <w:rPr>
                <w:rFonts w:hint="eastAsia" w:ascii="仿宋_GB2312" w:eastAsia="仿宋_GB2312"/>
                <w:sz w:val="32"/>
                <w:szCs w:val="32"/>
              </w:rPr>
              <w:t>0807J2</w:t>
            </w:r>
          </w:p>
        </w:tc>
        <w:tc>
          <w:tcPr>
            <w:tcW w:w="3146" w:type="dxa"/>
            <w:tcBorders>
              <w:top w:val="single" w:color="CCCCCC" w:sz="6" w:space="0"/>
              <w:left w:val="single" w:color="CCCCCC" w:sz="6" w:space="0"/>
              <w:bottom w:val="single" w:color="CCCCCC" w:sz="6" w:space="0"/>
              <w:right w:val="single" w:color="CCCCCC" w:sz="6" w:space="0"/>
            </w:tcBorders>
            <w:shd w:val="clear" w:color="auto" w:fill="auto"/>
            <w:tcMar>
              <w:top w:w="30" w:type="dxa"/>
              <w:left w:w="108" w:type="dxa"/>
              <w:bottom w:w="30" w:type="dxa"/>
              <w:right w:w="101" w:type="dxa"/>
            </w:tcMar>
            <w:vAlign w:val="center"/>
          </w:tcPr>
          <w:p w14:paraId="7608FA12">
            <w:pPr>
              <w:spacing w:line="560" w:lineRule="exact"/>
              <w:rPr>
                <w:rFonts w:ascii="仿宋_GB2312" w:eastAsia="仿宋_GB2312"/>
                <w:sz w:val="32"/>
                <w:szCs w:val="32"/>
              </w:rPr>
            </w:pPr>
            <w:r>
              <w:rPr>
                <w:rFonts w:hint="eastAsia" w:ascii="仿宋_GB2312" w:eastAsia="仿宋_GB2312"/>
                <w:sz w:val="32"/>
                <w:szCs w:val="32"/>
              </w:rPr>
              <w:t>氢能科学与工程</w:t>
            </w:r>
          </w:p>
        </w:tc>
        <w:tc>
          <w:tcPr>
            <w:tcW w:w="2365" w:type="dxa"/>
            <w:tcBorders>
              <w:top w:val="single" w:color="CCCCCC" w:sz="6" w:space="0"/>
              <w:left w:val="single" w:color="CCCCCC" w:sz="6" w:space="0"/>
              <w:bottom w:val="single" w:color="CCCCCC" w:sz="6" w:space="0"/>
              <w:right w:val="single" w:color="CCCCCC" w:sz="6" w:space="0"/>
            </w:tcBorders>
            <w:shd w:val="clear" w:color="auto" w:fill="auto"/>
            <w:tcMar>
              <w:top w:w="30" w:type="dxa"/>
              <w:left w:w="108" w:type="dxa"/>
              <w:bottom w:w="30" w:type="dxa"/>
              <w:right w:w="101" w:type="dxa"/>
            </w:tcMar>
            <w:vAlign w:val="center"/>
          </w:tcPr>
          <w:p w14:paraId="64B7FABA">
            <w:pPr>
              <w:spacing w:line="560" w:lineRule="exact"/>
              <w:rPr>
                <w:rFonts w:ascii="仿宋_GB2312" w:eastAsia="仿宋_GB2312"/>
                <w:sz w:val="32"/>
                <w:szCs w:val="32"/>
              </w:rPr>
            </w:pPr>
            <w:r>
              <w:rPr>
                <w:rFonts w:hint="eastAsia" w:ascii="仿宋_GB2312" w:eastAsia="仿宋_GB2312"/>
                <w:sz w:val="32"/>
                <w:szCs w:val="32"/>
              </w:rPr>
              <w:t>学术型</w:t>
            </w:r>
          </w:p>
        </w:tc>
        <w:tc>
          <w:tcPr>
            <w:tcW w:w="1327" w:type="dxa"/>
            <w:tcBorders>
              <w:top w:val="single" w:color="CCCCCC" w:sz="6" w:space="0"/>
              <w:left w:val="single" w:color="CCCCCC" w:sz="6" w:space="0"/>
              <w:bottom w:val="single" w:color="CCCCCC" w:sz="6" w:space="0"/>
              <w:right w:val="single" w:color="CCCCCC" w:sz="6" w:space="0"/>
            </w:tcBorders>
            <w:shd w:val="clear" w:color="auto" w:fill="auto"/>
            <w:tcMar>
              <w:top w:w="30" w:type="dxa"/>
              <w:left w:w="108" w:type="dxa"/>
              <w:bottom w:w="30" w:type="dxa"/>
              <w:right w:w="101" w:type="dxa"/>
            </w:tcMar>
            <w:vAlign w:val="center"/>
          </w:tcPr>
          <w:p w14:paraId="5A1E03A7">
            <w:pPr>
              <w:spacing w:line="560" w:lineRule="exact"/>
              <w:rPr>
                <w:rFonts w:ascii="仿宋_GB2312" w:eastAsia="仿宋_GB2312"/>
                <w:sz w:val="32"/>
                <w:szCs w:val="32"/>
              </w:rPr>
            </w:pPr>
            <w:r>
              <w:rPr>
                <w:rFonts w:ascii="仿宋_GB2312" w:eastAsia="仿宋_GB2312"/>
                <w:sz w:val="32"/>
                <w:szCs w:val="32"/>
              </w:rPr>
              <w:t>2</w:t>
            </w:r>
          </w:p>
        </w:tc>
      </w:tr>
      <w:tr w14:paraId="15450AC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89" w:hRule="atLeast"/>
        </w:trPr>
        <w:tc>
          <w:tcPr>
            <w:tcW w:w="1578" w:type="dxa"/>
            <w:tcBorders>
              <w:top w:val="single" w:color="CCCCCC" w:sz="6" w:space="0"/>
              <w:left w:val="single" w:color="CCCCCC" w:sz="6" w:space="0"/>
              <w:bottom w:val="single" w:color="CCCCCC" w:sz="6" w:space="0"/>
              <w:right w:val="single" w:color="CCCCCC" w:sz="6" w:space="0"/>
            </w:tcBorders>
            <w:tcMar>
              <w:top w:w="30" w:type="dxa"/>
              <w:left w:w="101" w:type="dxa"/>
              <w:bottom w:w="30" w:type="dxa"/>
              <w:right w:w="101" w:type="dxa"/>
            </w:tcMar>
            <w:vAlign w:val="center"/>
          </w:tcPr>
          <w:p w14:paraId="658D080A">
            <w:pPr>
              <w:spacing w:line="560" w:lineRule="exact"/>
              <w:rPr>
                <w:rFonts w:ascii="仿宋_GB2312" w:eastAsia="仿宋_GB2312"/>
                <w:sz w:val="32"/>
                <w:szCs w:val="32"/>
              </w:rPr>
            </w:pPr>
            <w:r>
              <w:rPr>
                <w:rFonts w:hint="eastAsia" w:ascii="仿宋_GB2312" w:eastAsia="仿宋_GB2312"/>
                <w:sz w:val="32"/>
                <w:szCs w:val="32"/>
              </w:rPr>
              <w:t>085802</w:t>
            </w:r>
          </w:p>
        </w:tc>
        <w:tc>
          <w:tcPr>
            <w:tcW w:w="3146" w:type="dxa"/>
            <w:tcBorders>
              <w:top w:val="single" w:color="CCCCCC" w:sz="6" w:space="0"/>
              <w:left w:val="single" w:color="CCCCCC" w:sz="6" w:space="0"/>
              <w:bottom w:val="single" w:color="CCCCCC" w:sz="6" w:space="0"/>
              <w:right w:val="single" w:color="CCCCCC" w:sz="6" w:space="0"/>
            </w:tcBorders>
            <w:tcMar>
              <w:top w:w="30" w:type="dxa"/>
              <w:left w:w="108" w:type="dxa"/>
              <w:bottom w:w="30" w:type="dxa"/>
              <w:right w:w="101" w:type="dxa"/>
            </w:tcMar>
            <w:vAlign w:val="center"/>
          </w:tcPr>
          <w:p w14:paraId="4C232D36">
            <w:pPr>
              <w:spacing w:line="560" w:lineRule="exact"/>
              <w:rPr>
                <w:rFonts w:ascii="仿宋_GB2312" w:eastAsia="仿宋_GB2312"/>
                <w:sz w:val="32"/>
                <w:szCs w:val="32"/>
              </w:rPr>
            </w:pPr>
            <w:r>
              <w:rPr>
                <w:rFonts w:hint="eastAsia" w:ascii="仿宋_GB2312" w:eastAsia="仿宋_GB2312"/>
                <w:sz w:val="32"/>
                <w:szCs w:val="32"/>
              </w:rPr>
              <w:t>动力工程</w:t>
            </w:r>
          </w:p>
        </w:tc>
        <w:tc>
          <w:tcPr>
            <w:tcW w:w="2365" w:type="dxa"/>
            <w:tcBorders>
              <w:top w:val="single" w:color="CCCCCC" w:sz="6" w:space="0"/>
              <w:left w:val="single" w:color="CCCCCC" w:sz="6" w:space="0"/>
              <w:bottom w:val="single" w:color="CCCCCC" w:sz="6" w:space="0"/>
              <w:right w:val="single" w:color="CCCCCC" w:sz="6" w:space="0"/>
            </w:tcBorders>
            <w:tcMar>
              <w:top w:w="30" w:type="dxa"/>
              <w:left w:w="108" w:type="dxa"/>
              <w:bottom w:w="30" w:type="dxa"/>
              <w:right w:w="101" w:type="dxa"/>
            </w:tcMar>
            <w:vAlign w:val="center"/>
          </w:tcPr>
          <w:p w14:paraId="73ABEEB4">
            <w:pPr>
              <w:spacing w:line="560" w:lineRule="exact"/>
              <w:rPr>
                <w:rFonts w:ascii="仿宋_GB2312" w:eastAsia="仿宋_GB2312"/>
                <w:sz w:val="32"/>
                <w:szCs w:val="32"/>
              </w:rPr>
            </w:pPr>
            <w:r>
              <w:rPr>
                <w:rFonts w:hint="eastAsia" w:ascii="仿宋_GB2312" w:eastAsia="仿宋_GB2312"/>
                <w:sz w:val="32"/>
                <w:szCs w:val="32"/>
              </w:rPr>
              <w:t>专业型</w:t>
            </w:r>
          </w:p>
        </w:tc>
        <w:tc>
          <w:tcPr>
            <w:tcW w:w="1327" w:type="dxa"/>
            <w:tcBorders>
              <w:top w:val="single" w:color="CCCCCC" w:sz="6" w:space="0"/>
              <w:left w:val="single" w:color="CCCCCC" w:sz="6" w:space="0"/>
              <w:bottom w:val="single" w:color="CCCCCC" w:sz="6" w:space="0"/>
              <w:right w:val="single" w:color="CCCCCC" w:sz="6" w:space="0"/>
            </w:tcBorders>
            <w:tcMar>
              <w:top w:w="30" w:type="dxa"/>
              <w:left w:w="108" w:type="dxa"/>
              <w:bottom w:w="30" w:type="dxa"/>
              <w:right w:w="101" w:type="dxa"/>
            </w:tcMar>
            <w:vAlign w:val="center"/>
          </w:tcPr>
          <w:p w14:paraId="14F0BED3">
            <w:pPr>
              <w:spacing w:line="560" w:lineRule="exact"/>
              <w:rPr>
                <w:rFonts w:ascii="仿宋_GB2312" w:eastAsia="仿宋_GB2312"/>
                <w:sz w:val="32"/>
                <w:szCs w:val="32"/>
              </w:rPr>
            </w:pPr>
            <w:r>
              <w:rPr>
                <w:rFonts w:hint="eastAsia" w:ascii="仿宋_GB2312" w:eastAsia="仿宋_GB2312"/>
                <w:sz w:val="32"/>
                <w:szCs w:val="32"/>
              </w:rPr>
              <w:t>2</w:t>
            </w:r>
          </w:p>
        </w:tc>
      </w:tr>
      <w:tr w14:paraId="7B3F677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89" w:hRule="atLeast"/>
        </w:trPr>
        <w:tc>
          <w:tcPr>
            <w:tcW w:w="1578" w:type="dxa"/>
            <w:tcBorders>
              <w:top w:val="single" w:color="CCCCCC" w:sz="6" w:space="0"/>
              <w:left w:val="single" w:color="CCCCCC" w:sz="6" w:space="0"/>
              <w:bottom w:val="single" w:color="CCCCCC" w:sz="6" w:space="0"/>
              <w:right w:val="single" w:color="CCCCCC" w:sz="6" w:space="0"/>
            </w:tcBorders>
            <w:shd w:val="clear" w:color="auto" w:fill="auto"/>
            <w:tcMar>
              <w:top w:w="30" w:type="dxa"/>
              <w:left w:w="101" w:type="dxa"/>
              <w:bottom w:w="30" w:type="dxa"/>
              <w:right w:w="101" w:type="dxa"/>
            </w:tcMar>
            <w:vAlign w:val="center"/>
          </w:tcPr>
          <w:p w14:paraId="0576B70D">
            <w:pPr>
              <w:spacing w:line="560" w:lineRule="exact"/>
              <w:rPr>
                <w:rFonts w:ascii="仿宋_GB2312" w:eastAsia="仿宋_GB2312"/>
                <w:sz w:val="32"/>
                <w:szCs w:val="32"/>
              </w:rPr>
            </w:pPr>
            <w:r>
              <w:rPr>
                <w:rFonts w:hint="eastAsia" w:ascii="仿宋_GB2312" w:eastAsia="仿宋_GB2312"/>
                <w:sz w:val="32"/>
                <w:szCs w:val="32"/>
              </w:rPr>
              <w:t>085808</w:t>
            </w:r>
          </w:p>
        </w:tc>
        <w:tc>
          <w:tcPr>
            <w:tcW w:w="3146" w:type="dxa"/>
            <w:tcBorders>
              <w:top w:val="single" w:color="CCCCCC" w:sz="6" w:space="0"/>
              <w:left w:val="single" w:color="CCCCCC" w:sz="6" w:space="0"/>
              <w:bottom w:val="single" w:color="CCCCCC" w:sz="6" w:space="0"/>
              <w:right w:val="single" w:color="CCCCCC" w:sz="6" w:space="0"/>
            </w:tcBorders>
            <w:shd w:val="clear" w:color="auto" w:fill="auto"/>
            <w:tcMar>
              <w:top w:w="30" w:type="dxa"/>
              <w:left w:w="108" w:type="dxa"/>
              <w:bottom w:w="30" w:type="dxa"/>
              <w:right w:w="101" w:type="dxa"/>
            </w:tcMar>
            <w:vAlign w:val="center"/>
          </w:tcPr>
          <w:p w14:paraId="1D41AB0C">
            <w:pPr>
              <w:spacing w:line="560" w:lineRule="exact"/>
              <w:rPr>
                <w:rFonts w:ascii="仿宋_GB2312" w:eastAsia="仿宋_GB2312"/>
                <w:sz w:val="32"/>
                <w:szCs w:val="32"/>
              </w:rPr>
            </w:pPr>
            <w:r>
              <w:rPr>
                <w:rFonts w:hint="eastAsia" w:ascii="仿宋_GB2312" w:eastAsia="仿宋_GB2312"/>
                <w:sz w:val="32"/>
                <w:szCs w:val="32"/>
              </w:rPr>
              <w:t>储能技术</w:t>
            </w:r>
          </w:p>
        </w:tc>
        <w:tc>
          <w:tcPr>
            <w:tcW w:w="2365" w:type="dxa"/>
            <w:tcBorders>
              <w:top w:val="single" w:color="CCCCCC" w:sz="6" w:space="0"/>
              <w:left w:val="single" w:color="CCCCCC" w:sz="6" w:space="0"/>
              <w:bottom w:val="single" w:color="CCCCCC" w:sz="6" w:space="0"/>
              <w:right w:val="single" w:color="CCCCCC" w:sz="6" w:space="0"/>
            </w:tcBorders>
            <w:shd w:val="clear" w:color="auto" w:fill="auto"/>
            <w:tcMar>
              <w:top w:w="30" w:type="dxa"/>
              <w:left w:w="108" w:type="dxa"/>
              <w:bottom w:w="30" w:type="dxa"/>
              <w:right w:w="101" w:type="dxa"/>
            </w:tcMar>
            <w:vAlign w:val="center"/>
          </w:tcPr>
          <w:p w14:paraId="57CF2549">
            <w:pPr>
              <w:spacing w:line="560" w:lineRule="exact"/>
              <w:rPr>
                <w:rFonts w:ascii="仿宋_GB2312" w:eastAsia="仿宋_GB2312"/>
                <w:sz w:val="32"/>
                <w:szCs w:val="32"/>
              </w:rPr>
            </w:pPr>
            <w:r>
              <w:rPr>
                <w:rFonts w:hint="eastAsia" w:ascii="仿宋_GB2312" w:eastAsia="仿宋_GB2312"/>
                <w:sz w:val="32"/>
                <w:szCs w:val="32"/>
              </w:rPr>
              <w:t>专业型</w:t>
            </w:r>
          </w:p>
        </w:tc>
        <w:tc>
          <w:tcPr>
            <w:tcW w:w="1327" w:type="dxa"/>
            <w:tcBorders>
              <w:top w:val="single" w:color="CCCCCC" w:sz="6" w:space="0"/>
              <w:left w:val="single" w:color="CCCCCC" w:sz="6" w:space="0"/>
              <w:bottom w:val="single" w:color="CCCCCC" w:sz="6" w:space="0"/>
              <w:right w:val="single" w:color="CCCCCC" w:sz="6" w:space="0"/>
            </w:tcBorders>
            <w:shd w:val="clear" w:color="auto" w:fill="auto"/>
            <w:tcMar>
              <w:top w:w="30" w:type="dxa"/>
              <w:left w:w="108" w:type="dxa"/>
              <w:bottom w:w="30" w:type="dxa"/>
              <w:right w:w="101" w:type="dxa"/>
            </w:tcMar>
            <w:vAlign w:val="center"/>
          </w:tcPr>
          <w:p w14:paraId="2C396151">
            <w:pPr>
              <w:spacing w:line="560" w:lineRule="exact"/>
              <w:rPr>
                <w:rFonts w:ascii="仿宋_GB2312" w:eastAsia="仿宋_GB2312"/>
                <w:sz w:val="32"/>
                <w:szCs w:val="32"/>
              </w:rPr>
            </w:pPr>
            <w:r>
              <w:rPr>
                <w:rFonts w:hint="eastAsia" w:ascii="仿宋_GB2312" w:eastAsia="仿宋_GB2312"/>
                <w:sz w:val="32"/>
                <w:szCs w:val="32"/>
              </w:rPr>
              <w:t>2</w:t>
            </w:r>
          </w:p>
        </w:tc>
      </w:tr>
    </w:tbl>
    <w:p w14:paraId="564FF2E6">
      <w:pPr>
        <w:spacing w:line="560" w:lineRule="exact"/>
        <w:rPr>
          <w:rFonts w:ascii="仿宋_GB2312" w:eastAsia="仿宋_GB2312"/>
          <w:sz w:val="32"/>
          <w:szCs w:val="32"/>
        </w:rPr>
      </w:pPr>
      <w:r>
        <w:rPr>
          <w:rFonts w:hint="eastAsia" w:ascii="仿宋_GB2312" w:eastAsia="仿宋_GB2312"/>
          <w:sz w:val="32"/>
          <w:szCs w:val="32"/>
        </w:rPr>
        <w:t>2.全日制学术学位硕士研究生</w:t>
      </w:r>
    </w:p>
    <w:tbl>
      <w:tblPr>
        <w:tblStyle w:val="4"/>
        <w:tblW w:w="8178"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1541"/>
        <w:gridCol w:w="3051"/>
        <w:gridCol w:w="2277"/>
        <w:gridCol w:w="1309"/>
      </w:tblGrid>
      <w:tr w14:paraId="194F9A6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60" w:hRule="atLeast"/>
        </w:trPr>
        <w:tc>
          <w:tcPr>
            <w:tcW w:w="1541" w:type="dxa"/>
            <w:tcBorders>
              <w:top w:val="single" w:color="CCCCCC" w:sz="6" w:space="0"/>
              <w:left w:val="single" w:color="CCCCCC" w:sz="6" w:space="0"/>
              <w:bottom w:val="single" w:color="CCCCCC" w:sz="6" w:space="0"/>
              <w:right w:val="single" w:color="CCCCCC" w:sz="6" w:space="0"/>
            </w:tcBorders>
            <w:tcMar>
              <w:top w:w="30" w:type="dxa"/>
              <w:left w:w="101" w:type="dxa"/>
              <w:bottom w:w="30" w:type="dxa"/>
              <w:right w:w="101" w:type="dxa"/>
            </w:tcMar>
            <w:vAlign w:val="bottom"/>
          </w:tcPr>
          <w:p w14:paraId="6CCB59DD">
            <w:pPr>
              <w:spacing w:line="560" w:lineRule="exact"/>
              <w:rPr>
                <w:rFonts w:ascii="仿宋_GB2312" w:eastAsia="仿宋_GB2312"/>
                <w:sz w:val="32"/>
                <w:szCs w:val="32"/>
              </w:rPr>
            </w:pPr>
            <w:r>
              <w:rPr>
                <w:rFonts w:hint="eastAsia" w:ascii="仿宋_GB2312" w:eastAsia="仿宋_GB2312"/>
                <w:sz w:val="32"/>
                <w:szCs w:val="32"/>
              </w:rPr>
              <w:t>专业代码</w:t>
            </w:r>
          </w:p>
        </w:tc>
        <w:tc>
          <w:tcPr>
            <w:tcW w:w="3051" w:type="dxa"/>
            <w:tcBorders>
              <w:top w:val="single" w:color="CCCCCC" w:sz="6" w:space="0"/>
              <w:left w:val="single" w:color="CCCCCC" w:sz="6" w:space="0"/>
              <w:bottom w:val="single" w:color="CCCCCC" w:sz="6" w:space="0"/>
              <w:right w:val="single" w:color="CCCCCC" w:sz="6" w:space="0"/>
            </w:tcBorders>
            <w:tcMar>
              <w:top w:w="30" w:type="dxa"/>
              <w:left w:w="108" w:type="dxa"/>
              <w:bottom w:w="30" w:type="dxa"/>
              <w:right w:w="101" w:type="dxa"/>
            </w:tcMar>
            <w:vAlign w:val="bottom"/>
          </w:tcPr>
          <w:p w14:paraId="0BD287EC">
            <w:pPr>
              <w:spacing w:line="560" w:lineRule="exact"/>
              <w:rPr>
                <w:rFonts w:ascii="仿宋_GB2312" w:eastAsia="仿宋_GB2312"/>
                <w:sz w:val="32"/>
                <w:szCs w:val="32"/>
              </w:rPr>
            </w:pPr>
            <w:r>
              <w:rPr>
                <w:rFonts w:hint="eastAsia" w:ascii="仿宋_GB2312" w:eastAsia="仿宋_GB2312"/>
                <w:sz w:val="32"/>
                <w:szCs w:val="32"/>
              </w:rPr>
              <w:t>专业名称</w:t>
            </w:r>
          </w:p>
        </w:tc>
        <w:tc>
          <w:tcPr>
            <w:tcW w:w="2277" w:type="dxa"/>
            <w:tcBorders>
              <w:top w:val="single" w:color="CCCCCC" w:sz="6" w:space="0"/>
              <w:left w:val="single" w:color="CCCCCC" w:sz="6" w:space="0"/>
              <w:bottom w:val="single" w:color="CCCCCC" w:sz="6" w:space="0"/>
              <w:right w:val="single" w:color="CCCCCC" w:sz="6" w:space="0"/>
            </w:tcBorders>
            <w:tcMar>
              <w:top w:w="30" w:type="dxa"/>
              <w:left w:w="108" w:type="dxa"/>
              <w:bottom w:w="30" w:type="dxa"/>
              <w:right w:w="101" w:type="dxa"/>
            </w:tcMar>
            <w:vAlign w:val="bottom"/>
          </w:tcPr>
          <w:p w14:paraId="10B835F5">
            <w:pPr>
              <w:spacing w:line="560" w:lineRule="exact"/>
              <w:rPr>
                <w:rFonts w:ascii="仿宋_GB2312" w:eastAsia="仿宋_GB2312"/>
                <w:sz w:val="32"/>
                <w:szCs w:val="32"/>
              </w:rPr>
            </w:pPr>
            <w:r>
              <w:rPr>
                <w:rFonts w:hint="eastAsia" w:ascii="仿宋_GB2312" w:eastAsia="仿宋_GB2312"/>
                <w:sz w:val="32"/>
                <w:szCs w:val="32"/>
              </w:rPr>
              <w:t>类型</w:t>
            </w:r>
          </w:p>
        </w:tc>
        <w:tc>
          <w:tcPr>
            <w:tcW w:w="1309" w:type="dxa"/>
            <w:tcBorders>
              <w:top w:val="single" w:color="CCCCCC" w:sz="6" w:space="0"/>
              <w:left w:val="single" w:color="CCCCCC" w:sz="6" w:space="0"/>
              <w:bottom w:val="single" w:color="CCCCCC" w:sz="6" w:space="0"/>
              <w:right w:val="single" w:color="CCCCCC" w:sz="6" w:space="0"/>
            </w:tcBorders>
            <w:tcMar>
              <w:top w:w="30" w:type="dxa"/>
              <w:left w:w="108" w:type="dxa"/>
              <w:bottom w:w="30" w:type="dxa"/>
              <w:right w:w="101" w:type="dxa"/>
            </w:tcMar>
            <w:vAlign w:val="bottom"/>
          </w:tcPr>
          <w:p w14:paraId="7D083193">
            <w:pPr>
              <w:spacing w:line="560" w:lineRule="exact"/>
              <w:rPr>
                <w:rFonts w:ascii="仿宋_GB2312" w:eastAsia="仿宋_GB2312"/>
                <w:sz w:val="32"/>
                <w:szCs w:val="32"/>
              </w:rPr>
            </w:pPr>
            <w:r>
              <w:rPr>
                <w:rFonts w:hint="eastAsia" w:ascii="仿宋_GB2312" w:eastAsia="仿宋_GB2312"/>
                <w:sz w:val="32"/>
                <w:szCs w:val="32"/>
              </w:rPr>
              <w:t>人数</w:t>
            </w:r>
          </w:p>
        </w:tc>
      </w:tr>
      <w:tr w14:paraId="65DDA88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60" w:hRule="atLeast"/>
        </w:trPr>
        <w:tc>
          <w:tcPr>
            <w:tcW w:w="1541" w:type="dxa"/>
            <w:tcBorders>
              <w:top w:val="single" w:color="CCCCCC" w:sz="6" w:space="0"/>
              <w:left w:val="single" w:color="CCCCCC" w:sz="6" w:space="0"/>
              <w:bottom w:val="single" w:color="CCCCCC" w:sz="6" w:space="0"/>
              <w:right w:val="single" w:color="CCCCCC" w:sz="6" w:space="0"/>
            </w:tcBorders>
            <w:tcMar>
              <w:top w:w="30" w:type="dxa"/>
              <w:left w:w="101" w:type="dxa"/>
              <w:bottom w:w="30" w:type="dxa"/>
              <w:right w:w="101" w:type="dxa"/>
            </w:tcMar>
            <w:vAlign w:val="center"/>
          </w:tcPr>
          <w:p w14:paraId="39A93E40">
            <w:pPr>
              <w:spacing w:line="560" w:lineRule="exact"/>
              <w:rPr>
                <w:rFonts w:ascii="仿宋_GB2312" w:eastAsia="仿宋_GB2312"/>
                <w:sz w:val="32"/>
                <w:szCs w:val="32"/>
              </w:rPr>
            </w:pPr>
            <w:r>
              <w:rPr>
                <w:rFonts w:hint="eastAsia" w:ascii="仿宋_GB2312" w:eastAsia="仿宋_GB2312"/>
                <w:sz w:val="32"/>
                <w:szCs w:val="32"/>
              </w:rPr>
              <w:t>080500</w:t>
            </w:r>
          </w:p>
        </w:tc>
        <w:tc>
          <w:tcPr>
            <w:tcW w:w="3051" w:type="dxa"/>
            <w:tcBorders>
              <w:top w:val="single" w:color="CCCCCC" w:sz="6" w:space="0"/>
              <w:left w:val="single" w:color="CCCCCC" w:sz="6" w:space="0"/>
              <w:bottom w:val="single" w:color="CCCCCC" w:sz="6" w:space="0"/>
              <w:right w:val="single" w:color="CCCCCC" w:sz="6" w:space="0"/>
            </w:tcBorders>
            <w:tcMar>
              <w:top w:w="30" w:type="dxa"/>
              <w:left w:w="108" w:type="dxa"/>
              <w:bottom w:w="30" w:type="dxa"/>
              <w:right w:w="101" w:type="dxa"/>
            </w:tcMar>
            <w:vAlign w:val="center"/>
          </w:tcPr>
          <w:p w14:paraId="0D75AD09">
            <w:pPr>
              <w:spacing w:line="560" w:lineRule="exact"/>
              <w:rPr>
                <w:rFonts w:ascii="仿宋_GB2312" w:eastAsia="仿宋_GB2312"/>
                <w:sz w:val="32"/>
                <w:szCs w:val="32"/>
              </w:rPr>
            </w:pPr>
            <w:r>
              <w:rPr>
                <w:rFonts w:hint="eastAsia" w:ascii="仿宋_GB2312" w:eastAsia="仿宋_GB2312"/>
                <w:sz w:val="32"/>
                <w:szCs w:val="32"/>
              </w:rPr>
              <w:t>材料科学与工程</w:t>
            </w:r>
          </w:p>
        </w:tc>
        <w:tc>
          <w:tcPr>
            <w:tcW w:w="2277" w:type="dxa"/>
            <w:tcBorders>
              <w:top w:val="single" w:color="CCCCCC" w:sz="6" w:space="0"/>
              <w:left w:val="single" w:color="CCCCCC" w:sz="6" w:space="0"/>
              <w:bottom w:val="single" w:color="CCCCCC" w:sz="6" w:space="0"/>
              <w:right w:val="single" w:color="CCCCCC" w:sz="6" w:space="0"/>
            </w:tcBorders>
            <w:tcMar>
              <w:top w:w="30" w:type="dxa"/>
              <w:left w:w="108" w:type="dxa"/>
              <w:bottom w:w="30" w:type="dxa"/>
              <w:right w:w="101" w:type="dxa"/>
            </w:tcMar>
            <w:vAlign w:val="center"/>
          </w:tcPr>
          <w:p w14:paraId="1BF675D0">
            <w:pPr>
              <w:spacing w:line="560" w:lineRule="exact"/>
              <w:rPr>
                <w:rFonts w:ascii="仿宋_GB2312" w:eastAsia="仿宋_GB2312"/>
                <w:sz w:val="32"/>
                <w:szCs w:val="32"/>
              </w:rPr>
            </w:pPr>
            <w:r>
              <w:rPr>
                <w:rFonts w:hint="eastAsia" w:ascii="仿宋_GB2312" w:eastAsia="仿宋_GB2312"/>
                <w:sz w:val="32"/>
                <w:szCs w:val="32"/>
              </w:rPr>
              <w:t>学术型</w:t>
            </w:r>
          </w:p>
        </w:tc>
        <w:tc>
          <w:tcPr>
            <w:tcW w:w="1309" w:type="dxa"/>
            <w:tcBorders>
              <w:top w:val="single" w:color="CCCCCC" w:sz="6" w:space="0"/>
              <w:left w:val="single" w:color="CCCCCC" w:sz="6" w:space="0"/>
              <w:bottom w:val="single" w:color="CCCCCC" w:sz="6" w:space="0"/>
              <w:right w:val="single" w:color="CCCCCC" w:sz="6" w:space="0"/>
            </w:tcBorders>
            <w:tcMar>
              <w:top w:w="30" w:type="dxa"/>
              <w:left w:w="108" w:type="dxa"/>
              <w:bottom w:w="30" w:type="dxa"/>
              <w:right w:w="101" w:type="dxa"/>
            </w:tcMar>
            <w:vAlign w:val="center"/>
          </w:tcPr>
          <w:p w14:paraId="43477B58">
            <w:pPr>
              <w:spacing w:line="560" w:lineRule="exact"/>
              <w:rPr>
                <w:rFonts w:ascii="仿宋_GB2312" w:eastAsia="仿宋_GB2312"/>
                <w:sz w:val="32"/>
                <w:szCs w:val="32"/>
              </w:rPr>
            </w:pPr>
            <w:r>
              <w:rPr>
                <w:rFonts w:ascii="仿宋_GB2312" w:eastAsia="仿宋_GB2312"/>
                <w:sz w:val="32"/>
                <w:szCs w:val="32"/>
              </w:rPr>
              <w:t>2</w:t>
            </w:r>
          </w:p>
        </w:tc>
      </w:tr>
      <w:tr w14:paraId="270378C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60" w:hRule="atLeast"/>
        </w:trPr>
        <w:tc>
          <w:tcPr>
            <w:tcW w:w="1541" w:type="dxa"/>
            <w:tcBorders>
              <w:top w:val="single" w:color="CCCCCC" w:sz="6" w:space="0"/>
              <w:left w:val="single" w:color="CCCCCC" w:sz="6" w:space="0"/>
              <w:bottom w:val="single" w:color="CCCCCC" w:sz="6" w:space="0"/>
              <w:right w:val="single" w:color="CCCCCC" w:sz="6" w:space="0"/>
            </w:tcBorders>
            <w:tcMar>
              <w:top w:w="30" w:type="dxa"/>
              <w:left w:w="101" w:type="dxa"/>
              <w:bottom w:w="30" w:type="dxa"/>
              <w:right w:w="101" w:type="dxa"/>
            </w:tcMar>
            <w:vAlign w:val="center"/>
          </w:tcPr>
          <w:p w14:paraId="2F6260D5">
            <w:pPr>
              <w:spacing w:line="560" w:lineRule="exact"/>
              <w:rPr>
                <w:rFonts w:ascii="仿宋_GB2312" w:eastAsia="仿宋_GB2312"/>
                <w:sz w:val="32"/>
                <w:szCs w:val="32"/>
              </w:rPr>
            </w:pPr>
            <w:r>
              <w:rPr>
                <w:rFonts w:hint="eastAsia" w:ascii="仿宋_GB2312" w:eastAsia="仿宋_GB2312"/>
                <w:sz w:val="32"/>
                <w:szCs w:val="32"/>
              </w:rPr>
              <w:t>0807J1</w:t>
            </w:r>
          </w:p>
        </w:tc>
        <w:tc>
          <w:tcPr>
            <w:tcW w:w="3051" w:type="dxa"/>
            <w:tcBorders>
              <w:top w:val="single" w:color="CCCCCC" w:sz="6" w:space="0"/>
              <w:left w:val="single" w:color="CCCCCC" w:sz="6" w:space="0"/>
              <w:bottom w:val="single" w:color="CCCCCC" w:sz="6" w:space="0"/>
              <w:right w:val="single" w:color="CCCCCC" w:sz="6" w:space="0"/>
            </w:tcBorders>
            <w:tcMar>
              <w:top w:w="30" w:type="dxa"/>
              <w:left w:w="108" w:type="dxa"/>
              <w:bottom w:w="30" w:type="dxa"/>
              <w:right w:w="101" w:type="dxa"/>
            </w:tcMar>
            <w:vAlign w:val="center"/>
          </w:tcPr>
          <w:p w14:paraId="50EC32C9">
            <w:pPr>
              <w:spacing w:line="560" w:lineRule="exact"/>
              <w:rPr>
                <w:rFonts w:ascii="仿宋_GB2312" w:eastAsia="仿宋_GB2312"/>
                <w:sz w:val="32"/>
                <w:szCs w:val="32"/>
              </w:rPr>
            </w:pPr>
            <w:r>
              <w:rPr>
                <w:rFonts w:hint="eastAsia" w:ascii="仿宋_GB2312" w:eastAsia="仿宋_GB2312"/>
                <w:sz w:val="32"/>
                <w:szCs w:val="32"/>
              </w:rPr>
              <w:t>储能科学与工程</w:t>
            </w:r>
          </w:p>
        </w:tc>
        <w:tc>
          <w:tcPr>
            <w:tcW w:w="2277" w:type="dxa"/>
            <w:tcBorders>
              <w:top w:val="single" w:color="CCCCCC" w:sz="6" w:space="0"/>
              <w:left w:val="single" w:color="CCCCCC" w:sz="6" w:space="0"/>
              <w:bottom w:val="single" w:color="CCCCCC" w:sz="6" w:space="0"/>
              <w:right w:val="single" w:color="CCCCCC" w:sz="6" w:space="0"/>
            </w:tcBorders>
            <w:tcMar>
              <w:top w:w="30" w:type="dxa"/>
              <w:left w:w="108" w:type="dxa"/>
              <w:bottom w:w="30" w:type="dxa"/>
              <w:right w:w="101" w:type="dxa"/>
            </w:tcMar>
            <w:vAlign w:val="center"/>
          </w:tcPr>
          <w:p w14:paraId="227043F4">
            <w:pPr>
              <w:spacing w:line="560" w:lineRule="exact"/>
              <w:rPr>
                <w:rFonts w:ascii="仿宋_GB2312" w:eastAsia="仿宋_GB2312"/>
                <w:sz w:val="32"/>
                <w:szCs w:val="32"/>
              </w:rPr>
            </w:pPr>
            <w:r>
              <w:rPr>
                <w:rFonts w:hint="eastAsia" w:ascii="仿宋_GB2312" w:eastAsia="仿宋_GB2312"/>
                <w:sz w:val="32"/>
                <w:szCs w:val="32"/>
              </w:rPr>
              <w:t>学术型</w:t>
            </w:r>
          </w:p>
        </w:tc>
        <w:tc>
          <w:tcPr>
            <w:tcW w:w="1309" w:type="dxa"/>
            <w:tcBorders>
              <w:top w:val="single" w:color="CCCCCC" w:sz="6" w:space="0"/>
              <w:left w:val="single" w:color="CCCCCC" w:sz="6" w:space="0"/>
              <w:bottom w:val="single" w:color="CCCCCC" w:sz="6" w:space="0"/>
              <w:right w:val="single" w:color="CCCCCC" w:sz="6" w:space="0"/>
            </w:tcBorders>
            <w:tcMar>
              <w:top w:w="30" w:type="dxa"/>
              <w:left w:w="108" w:type="dxa"/>
              <w:bottom w:w="30" w:type="dxa"/>
              <w:right w:w="101" w:type="dxa"/>
            </w:tcMar>
            <w:vAlign w:val="center"/>
          </w:tcPr>
          <w:p w14:paraId="34336210">
            <w:pPr>
              <w:spacing w:line="560" w:lineRule="exact"/>
              <w:rPr>
                <w:rFonts w:ascii="仿宋_GB2312" w:eastAsia="仿宋_GB2312"/>
                <w:sz w:val="32"/>
                <w:szCs w:val="32"/>
              </w:rPr>
            </w:pPr>
            <w:r>
              <w:rPr>
                <w:rFonts w:ascii="仿宋_GB2312" w:eastAsia="仿宋_GB2312"/>
                <w:sz w:val="32"/>
                <w:szCs w:val="32"/>
              </w:rPr>
              <w:t>2</w:t>
            </w:r>
          </w:p>
        </w:tc>
      </w:tr>
      <w:tr w14:paraId="66203C8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60" w:hRule="atLeast"/>
        </w:trPr>
        <w:tc>
          <w:tcPr>
            <w:tcW w:w="1541" w:type="dxa"/>
            <w:tcBorders>
              <w:top w:val="single" w:color="CCCCCC" w:sz="6" w:space="0"/>
              <w:left w:val="single" w:color="CCCCCC" w:sz="6" w:space="0"/>
              <w:bottom w:val="single" w:color="CCCCCC" w:sz="6" w:space="0"/>
              <w:right w:val="single" w:color="CCCCCC" w:sz="6" w:space="0"/>
            </w:tcBorders>
            <w:tcMar>
              <w:top w:w="30" w:type="dxa"/>
              <w:left w:w="101" w:type="dxa"/>
              <w:bottom w:w="30" w:type="dxa"/>
              <w:right w:w="101" w:type="dxa"/>
            </w:tcMar>
            <w:vAlign w:val="center"/>
          </w:tcPr>
          <w:p w14:paraId="0A2A1FFD">
            <w:pPr>
              <w:spacing w:line="560" w:lineRule="exact"/>
              <w:rPr>
                <w:rFonts w:ascii="仿宋_GB2312" w:eastAsia="仿宋_GB2312"/>
                <w:sz w:val="32"/>
                <w:szCs w:val="32"/>
              </w:rPr>
            </w:pPr>
            <w:r>
              <w:rPr>
                <w:rFonts w:hint="eastAsia" w:ascii="仿宋_GB2312" w:hAnsi="宋体" w:eastAsia="仿宋_GB2312" w:cs="Courier New"/>
                <w:sz w:val="32"/>
                <w:szCs w:val="32"/>
              </w:rPr>
              <w:t>0807J2</w:t>
            </w:r>
          </w:p>
        </w:tc>
        <w:tc>
          <w:tcPr>
            <w:tcW w:w="3051" w:type="dxa"/>
            <w:tcBorders>
              <w:top w:val="single" w:color="CCCCCC" w:sz="6" w:space="0"/>
              <w:left w:val="single" w:color="CCCCCC" w:sz="6" w:space="0"/>
              <w:bottom w:val="single" w:color="CCCCCC" w:sz="6" w:space="0"/>
              <w:right w:val="single" w:color="CCCCCC" w:sz="6" w:space="0"/>
            </w:tcBorders>
            <w:tcMar>
              <w:top w:w="30" w:type="dxa"/>
              <w:left w:w="108" w:type="dxa"/>
              <w:bottom w:w="30" w:type="dxa"/>
              <w:right w:w="101" w:type="dxa"/>
            </w:tcMar>
            <w:vAlign w:val="center"/>
          </w:tcPr>
          <w:p w14:paraId="7EF8B54B">
            <w:pPr>
              <w:spacing w:line="560" w:lineRule="exact"/>
              <w:rPr>
                <w:rFonts w:ascii="仿宋_GB2312" w:eastAsia="仿宋_GB2312"/>
                <w:sz w:val="32"/>
                <w:szCs w:val="32"/>
              </w:rPr>
            </w:pPr>
            <w:r>
              <w:rPr>
                <w:rFonts w:hint="eastAsia" w:ascii="仿宋_GB2312" w:hAnsi="宋体" w:eastAsia="仿宋_GB2312" w:cs="Courier New"/>
                <w:sz w:val="32"/>
                <w:szCs w:val="32"/>
              </w:rPr>
              <w:t>氢能科学与工程</w:t>
            </w:r>
          </w:p>
        </w:tc>
        <w:tc>
          <w:tcPr>
            <w:tcW w:w="2277" w:type="dxa"/>
            <w:tcBorders>
              <w:top w:val="single" w:color="CCCCCC" w:sz="6" w:space="0"/>
              <w:left w:val="single" w:color="CCCCCC" w:sz="6" w:space="0"/>
              <w:bottom w:val="single" w:color="CCCCCC" w:sz="6" w:space="0"/>
              <w:right w:val="single" w:color="CCCCCC" w:sz="6" w:space="0"/>
            </w:tcBorders>
            <w:tcMar>
              <w:top w:w="30" w:type="dxa"/>
              <w:left w:w="108" w:type="dxa"/>
              <w:bottom w:w="30" w:type="dxa"/>
              <w:right w:w="101" w:type="dxa"/>
            </w:tcMar>
            <w:vAlign w:val="center"/>
          </w:tcPr>
          <w:p w14:paraId="2E479DEC">
            <w:pPr>
              <w:spacing w:line="560" w:lineRule="exact"/>
              <w:rPr>
                <w:rFonts w:ascii="仿宋_GB2312" w:eastAsia="仿宋_GB2312"/>
                <w:sz w:val="32"/>
                <w:szCs w:val="32"/>
              </w:rPr>
            </w:pPr>
            <w:r>
              <w:rPr>
                <w:rFonts w:hint="eastAsia" w:ascii="仿宋_GB2312" w:eastAsia="仿宋_GB2312"/>
                <w:sz w:val="32"/>
                <w:szCs w:val="32"/>
              </w:rPr>
              <w:t>学术型</w:t>
            </w:r>
          </w:p>
        </w:tc>
        <w:tc>
          <w:tcPr>
            <w:tcW w:w="1309" w:type="dxa"/>
            <w:tcBorders>
              <w:top w:val="single" w:color="CCCCCC" w:sz="6" w:space="0"/>
              <w:left w:val="single" w:color="CCCCCC" w:sz="6" w:space="0"/>
              <w:bottom w:val="single" w:color="CCCCCC" w:sz="6" w:space="0"/>
              <w:right w:val="single" w:color="CCCCCC" w:sz="6" w:space="0"/>
            </w:tcBorders>
            <w:tcMar>
              <w:top w:w="30" w:type="dxa"/>
              <w:left w:w="108" w:type="dxa"/>
              <w:bottom w:w="30" w:type="dxa"/>
              <w:right w:w="101" w:type="dxa"/>
            </w:tcMar>
            <w:vAlign w:val="center"/>
          </w:tcPr>
          <w:p w14:paraId="46DDFA84">
            <w:pPr>
              <w:spacing w:line="560" w:lineRule="exact"/>
              <w:rPr>
                <w:rFonts w:ascii="仿宋_GB2312" w:eastAsia="仿宋_GB2312"/>
                <w:sz w:val="32"/>
                <w:szCs w:val="32"/>
              </w:rPr>
            </w:pPr>
            <w:r>
              <w:rPr>
                <w:rFonts w:hint="eastAsia" w:ascii="仿宋_GB2312" w:eastAsia="仿宋_GB2312"/>
                <w:sz w:val="32"/>
                <w:szCs w:val="32"/>
              </w:rPr>
              <w:t>4</w:t>
            </w:r>
          </w:p>
        </w:tc>
      </w:tr>
    </w:tbl>
    <w:p w14:paraId="7C98BD00">
      <w:pPr>
        <w:spacing w:line="560" w:lineRule="exact"/>
        <w:rPr>
          <w:rFonts w:ascii="仿宋_GB2312" w:eastAsia="仿宋_GB2312"/>
          <w:sz w:val="32"/>
          <w:szCs w:val="32"/>
        </w:rPr>
      </w:pPr>
      <w:r>
        <w:rPr>
          <w:rFonts w:hint="eastAsia" w:ascii="仿宋_GB2312" w:eastAsia="仿宋_GB2312"/>
          <w:sz w:val="32"/>
          <w:szCs w:val="32"/>
        </w:rPr>
        <w:t>3.全日制专业学位硕士研究生</w:t>
      </w:r>
    </w:p>
    <w:tbl>
      <w:tblPr>
        <w:tblStyle w:val="4"/>
        <w:tblW w:w="8145"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1497"/>
        <w:gridCol w:w="3098"/>
        <w:gridCol w:w="2270"/>
        <w:gridCol w:w="1280"/>
      </w:tblGrid>
      <w:tr w14:paraId="2DCC8AC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60" w:hRule="atLeast"/>
        </w:trPr>
        <w:tc>
          <w:tcPr>
            <w:tcW w:w="1497" w:type="dxa"/>
            <w:tcBorders>
              <w:top w:val="single" w:color="CCCCCC" w:sz="6" w:space="0"/>
              <w:left w:val="single" w:color="CCCCCC" w:sz="6" w:space="0"/>
              <w:bottom w:val="single" w:color="CCCCCC" w:sz="6" w:space="0"/>
              <w:right w:val="single" w:color="CCCCCC" w:sz="6" w:space="0"/>
            </w:tcBorders>
            <w:tcMar>
              <w:top w:w="30" w:type="dxa"/>
              <w:left w:w="101" w:type="dxa"/>
              <w:bottom w:w="30" w:type="dxa"/>
              <w:right w:w="101" w:type="dxa"/>
            </w:tcMar>
            <w:vAlign w:val="bottom"/>
          </w:tcPr>
          <w:p w14:paraId="718E5C01">
            <w:pPr>
              <w:spacing w:line="560" w:lineRule="exact"/>
              <w:rPr>
                <w:rFonts w:ascii="仿宋_GB2312" w:eastAsia="仿宋_GB2312"/>
                <w:sz w:val="32"/>
                <w:szCs w:val="32"/>
              </w:rPr>
            </w:pPr>
            <w:r>
              <w:rPr>
                <w:rFonts w:hint="eastAsia" w:ascii="仿宋_GB2312" w:eastAsia="仿宋_GB2312"/>
                <w:sz w:val="32"/>
                <w:szCs w:val="32"/>
              </w:rPr>
              <w:t>专业代码</w:t>
            </w:r>
          </w:p>
        </w:tc>
        <w:tc>
          <w:tcPr>
            <w:tcW w:w="3098" w:type="dxa"/>
            <w:tcBorders>
              <w:top w:val="single" w:color="CCCCCC" w:sz="6" w:space="0"/>
              <w:left w:val="single" w:color="CCCCCC" w:sz="6" w:space="0"/>
              <w:bottom w:val="single" w:color="CCCCCC" w:sz="6" w:space="0"/>
              <w:right w:val="single" w:color="CCCCCC" w:sz="6" w:space="0"/>
            </w:tcBorders>
            <w:tcMar>
              <w:top w:w="30" w:type="dxa"/>
              <w:left w:w="108" w:type="dxa"/>
              <w:bottom w:w="30" w:type="dxa"/>
              <w:right w:w="101" w:type="dxa"/>
            </w:tcMar>
            <w:vAlign w:val="bottom"/>
          </w:tcPr>
          <w:p w14:paraId="20901B56">
            <w:pPr>
              <w:spacing w:line="560" w:lineRule="exact"/>
              <w:rPr>
                <w:rFonts w:ascii="仿宋_GB2312" w:eastAsia="仿宋_GB2312"/>
                <w:sz w:val="32"/>
                <w:szCs w:val="32"/>
              </w:rPr>
            </w:pPr>
            <w:r>
              <w:rPr>
                <w:rFonts w:hint="eastAsia" w:ascii="仿宋_GB2312" w:eastAsia="仿宋_GB2312"/>
                <w:sz w:val="32"/>
                <w:szCs w:val="32"/>
              </w:rPr>
              <w:t>专业名称</w:t>
            </w:r>
          </w:p>
        </w:tc>
        <w:tc>
          <w:tcPr>
            <w:tcW w:w="2270" w:type="dxa"/>
            <w:tcBorders>
              <w:top w:val="single" w:color="CCCCCC" w:sz="6" w:space="0"/>
              <w:left w:val="single" w:color="CCCCCC" w:sz="6" w:space="0"/>
              <w:bottom w:val="single" w:color="CCCCCC" w:sz="6" w:space="0"/>
              <w:right w:val="single" w:color="CCCCCC" w:sz="6" w:space="0"/>
            </w:tcBorders>
            <w:tcMar>
              <w:top w:w="30" w:type="dxa"/>
              <w:left w:w="108" w:type="dxa"/>
              <w:bottom w:w="30" w:type="dxa"/>
              <w:right w:w="101" w:type="dxa"/>
            </w:tcMar>
            <w:vAlign w:val="bottom"/>
          </w:tcPr>
          <w:p w14:paraId="27980760">
            <w:pPr>
              <w:spacing w:line="560" w:lineRule="exact"/>
              <w:rPr>
                <w:rFonts w:ascii="仿宋_GB2312" w:eastAsia="仿宋_GB2312"/>
                <w:sz w:val="32"/>
                <w:szCs w:val="32"/>
              </w:rPr>
            </w:pPr>
            <w:r>
              <w:rPr>
                <w:rFonts w:hint="eastAsia" w:ascii="仿宋_GB2312" w:eastAsia="仿宋_GB2312"/>
                <w:sz w:val="32"/>
                <w:szCs w:val="32"/>
              </w:rPr>
              <w:t>类型</w:t>
            </w:r>
          </w:p>
        </w:tc>
        <w:tc>
          <w:tcPr>
            <w:tcW w:w="1280" w:type="dxa"/>
            <w:tcBorders>
              <w:top w:val="single" w:color="CCCCCC" w:sz="6" w:space="0"/>
              <w:left w:val="single" w:color="CCCCCC" w:sz="6" w:space="0"/>
              <w:bottom w:val="single" w:color="CCCCCC" w:sz="6" w:space="0"/>
              <w:right w:val="single" w:color="CCCCCC" w:sz="6" w:space="0"/>
            </w:tcBorders>
            <w:tcMar>
              <w:top w:w="30" w:type="dxa"/>
              <w:left w:w="108" w:type="dxa"/>
              <w:bottom w:w="30" w:type="dxa"/>
              <w:right w:w="101" w:type="dxa"/>
            </w:tcMar>
            <w:vAlign w:val="bottom"/>
          </w:tcPr>
          <w:p w14:paraId="6E99E4AF">
            <w:pPr>
              <w:spacing w:line="560" w:lineRule="exact"/>
              <w:rPr>
                <w:rFonts w:ascii="仿宋_GB2312" w:eastAsia="仿宋_GB2312"/>
                <w:sz w:val="32"/>
                <w:szCs w:val="32"/>
              </w:rPr>
            </w:pPr>
            <w:r>
              <w:rPr>
                <w:rFonts w:hint="eastAsia" w:ascii="仿宋_GB2312" w:eastAsia="仿宋_GB2312"/>
                <w:sz w:val="32"/>
                <w:szCs w:val="32"/>
              </w:rPr>
              <w:t>人数</w:t>
            </w:r>
          </w:p>
        </w:tc>
      </w:tr>
      <w:tr w14:paraId="6B69BAB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60" w:hRule="atLeast"/>
        </w:trPr>
        <w:tc>
          <w:tcPr>
            <w:tcW w:w="1497" w:type="dxa"/>
            <w:tcBorders>
              <w:top w:val="single" w:color="CCCCCC" w:sz="6" w:space="0"/>
              <w:left w:val="single" w:color="CCCCCC" w:sz="6" w:space="0"/>
              <w:bottom w:val="single" w:color="CCCCCC" w:sz="6" w:space="0"/>
              <w:right w:val="single" w:color="CCCCCC" w:sz="6" w:space="0"/>
            </w:tcBorders>
            <w:tcMar>
              <w:top w:w="30" w:type="dxa"/>
              <w:left w:w="101" w:type="dxa"/>
              <w:bottom w:w="30" w:type="dxa"/>
              <w:right w:w="101" w:type="dxa"/>
            </w:tcMar>
            <w:vAlign w:val="center"/>
          </w:tcPr>
          <w:p w14:paraId="2D58B062">
            <w:pPr>
              <w:spacing w:line="560" w:lineRule="exact"/>
              <w:rPr>
                <w:rFonts w:ascii="仿宋_GB2312" w:eastAsia="仿宋_GB2312"/>
                <w:sz w:val="32"/>
                <w:szCs w:val="32"/>
              </w:rPr>
            </w:pPr>
            <w:r>
              <w:rPr>
                <w:rFonts w:hint="eastAsia" w:ascii="仿宋_GB2312" w:eastAsia="仿宋_GB2312"/>
                <w:sz w:val="32"/>
                <w:szCs w:val="32"/>
              </w:rPr>
              <w:t>085601</w:t>
            </w:r>
          </w:p>
        </w:tc>
        <w:tc>
          <w:tcPr>
            <w:tcW w:w="3098" w:type="dxa"/>
            <w:tcBorders>
              <w:top w:val="single" w:color="CCCCCC" w:sz="6" w:space="0"/>
              <w:left w:val="single" w:color="CCCCCC" w:sz="6" w:space="0"/>
              <w:bottom w:val="single" w:color="CCCCCC" w:sz="6" w:space="0"/>
              <w:right w:val="single" w:color="CCCCCC" w:sz="6" w:space="0"/>
            </w:tcBorders>
            <w:tcMar>
              <w:top w:w="30" w:type="dxa"/>
              <w:left w:w="108" w:type="dxa"/>
              <w:bottom w:w="30" w:type="dxa"/>
              <w:right w:w="101" w:type="dxa"/>
            </w:tcMar>
            <w:vAlign w:val="center"/>
          </w:tcPr>
          <w:p w14:paraId="33E20C16">
            <w:pPr>
              <w:spacing w:line="560" w:lineRule="exact"/>
              <w:rPr>
                <w:rFonts w:ascii="仿宋_GB2312" w:eastAsia="仿宋_GB2312"/>
                <w:sz w:val="32"/>
                <w:szCs w:val="32"/>
              </w:rPr>
            </w:pPr>
            <w:r>
              <w:rPr>
                <w:rFonts w:hint="eastAsia" w:ascii="仿宋_GB2312" w:eastAsia="仿宋_GB2312"/>
                <w:sz w:val="32"/>
                <w:szCs w:val="32"/>
              </w:rPr>
              <w:t>材料工程</w:t>
            </w:r>
          </w:p>
        </w:tc>
        <w:tc>
          <w:tcPr>
            <w:tcW w:w="2270" w:type="dxa"/>
            <w:tcBorders>
              <w:top w:val="single" w:color="CCCCCC" w:sz="6" w:space="0"/>
              <w:left w:val="single" w:color="CCCCCC" w:sz="6" w:space="0"/>
              <w:bottom w:val="single" w:color="CCCCCC" w:sz="6" w:space="0"/>
              <w:right w:val="single" w:color="CCCCCC" w:sz="6" w:space="0"/>
            </w:tcBorders>
            <w:tcMar>
              <w:top w:w="30" w:type="dxa"/>
              <w:left w:w="108" w:type="dxa"/>
              <w:bottom w:w="30" w:type="dxa"/>
              <w:right w:w="101" w:type="dxa"/>
            </w:tcMar>
            <w:vAlign w:val="center"/>
          </w:tcPr>
          <w:p w14:paraId="6E6A78FE">
            <w:pPr>
              <w:spacing w:line="560" w:lineRule="exact"/>
              <w:rPr>
                <w:rFonts w:ascii="仿宋_GB2312" w:eastAsia="仿宋_GB2312"/>
                <w:sz w:val="32"/>
                <w:szCs w:val="32"/>
              </w:rPr>
            </w:pPr>
            <w:r>
              <w:rPr>
                <w:rFonts w:hint="eastAsia" w:ascii="仿宋_GB2312" w:eastAsia="仿宋_GB2312"/>
                <w:sz w:val="32"/>
                <w:szCs w:val="32"/>
              </w:rPr>
              <w:t>专业型</w:t>
            </w:r>
          </w:p>
        </w:tc>
        <w:tc>
          <w:tcPr>
            <w:tcW w:w="1280" w:type="dxa"/>
            <w:tcBorders>
              <w:top w:val="single" w:color="CCCCCC" w:sz="6" w:space="0"/>
              <w:left w:val="single" w:color="CCCCCC" w:sz="6" w:space="0"/>
              <w:bottom w:val="single" w:color="CCCCCC" w:sz="6" w:space="0"/>
              <w:right w:val="single" w:color="CCCCCC" w:sz="6" w:space="0"/>
            </w:tcBorders>
            <w:tcMar>
              <w:top w:w="30" w:type="dxa"/>
              <w:left w:w="108" w:type="dxa"/>
              <w:bottom w:w="30" w:type="dxa"/>
              <w:right w:w="101" w:type="dxa"/>
            </w:tcMar>
            <w:vAlign w:val="center"/>
          </w:tcPr>
          <w:p w14:paraId="6B855A76">
            <w:pPr>
              <w:spacing w:line="560" w:lineRule="exact"/>
              <w:rPr>
                <w:rFonts w:ascii="仿宋_GB2312" w:eastAsia="仿宋_GB2312"/>
                <w:sz w:val="32"/>
                <w:szCs w:val="32"/>
              </w:rPr>
            </w:pPr>
            <w:r>
              <w:rPr>
                <w:rFonts w:hint="eastAsia" w:ascii="仿宋_GB2312" w:eastAsia="仿宋_GB2312"/>
                <w:sz w:val="32"/>
                <w:szCs w:val="32"/>
              </w:rPr>
              <w:t>6</w:t>
            </w:r>
          </w:p>
        </w:tc>
      </w:tr>
      <w:tr w14:paraId="09B0806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60" w:hRule="atLeast"/>
        </w:trPr>
        <w:tc>
          <w:tcPr>
            <w:tcW w:w="1497" w:type="dxa"/>
            <w:tcBorders>
              <w:top w:val="single" w:color="CCCCCC" w:sz="6" w:space="0"/>
              <w:left w:val="single" w:color="CCCCCC" w:sz="6" w:space="0"/>
              <w:bottom w:val="single" w:color="CCCCCC" w:sz="6" w:space="0"/>
              <w:right w:val="single" w:color="CCCCCC" w:sz="6" w:space="0"/>
            </w:tcBorders>
            <w:tcMar>
              <w:top w:w="30" w:type="dxa"/>
              <w:left w:w="101" w:type="dxa"/>
              <w:bottom w:w="30" w:type="dxa"/>
              <w:right w:w="101" w:type="dxa"/>
            </w:tcMar>
            <w:vAlign w:val="center"/>
          </w:tcPr>
          <w:p w14:paraId="2F353C4F">
            <w:pPr>
              <w:spacing w:line="560" w:lineRule="exact"/>
              <w:rPr>
                <w:rFonts w:ascii="仿宋_GB2312" w:eastAsia="仿宋_GB2312"/>
                <w:sz w:val="32"/>
                <w:szCs w:val="32"/>
              </w:rPr>
            </w:pPr>
            <w:r>
              <w:rPr>
                <w:rFonts w:hint="eastAsia" w:ascii="仿宋_GB2312" w:hAnsi="宋体" w:eastAsia="仿宋_GB2312"/>
                <w:sz w:val="32"/>
                <w:szCs w:val="32"/>
              </w:rPr>
              <w:t>085802</w:t>
            </w:r>
          </w:p>
        </w:tc>
        <w:tc>
          <w:tcPr>
            <w:tcW w:w="3098" w:type="dxa"/>
            <w:tcBorders>
              <w:top w:val="single" w:color="CCCCCC" w:sz="6" w:space="0"/>
              <w:left w:val="single" w:color="CCCCCC" w:sz="6" w:space="0"/>
              <w:bottom w:val="single" w:color="CCCCCC" w:sz="6" w:space="0"/>
              <w:right w:val="single" w:color="CCCCCC" w:sz="6" w:space="0"/>
            </w:tcBorders>
            <w:tcMar>
              <w:top w:w="30" w:type="dxa"/>
              <w:left w:w="108" w:type="dxa"/>
              <w:bottom w:w="30" w:type="dxa"/>
              <w:right w:w="101" w:type="dxa"/>
            </w:tcMar>
            <w:vAlign w:val="center"/>
          </w:tcPr>
          <w:p w14:paraId="23445B58">
            <w:pPr>
              <w:spacing w:line="560" w:lineRule="exact"/>
              <w:rPr>
                <w:rFonts w:ascii="仿宋_GB2312" w:eastAsia="仿宋_GB2312"/>
                <w:sz w:val="32"/>
                <w:szCs w:val="32"/>
              </w:rPr>
            </w:pPr>
            <w:r>
              <w:rPr>
                <w:rFonts w:hint="eastAsia" w:ascii="仿宋_GB2312" w:hAnsi="宋体" w:eastAsia="仿宋_GB2312"/>
                <w:sz w:val="32"/>
                <w:szCs w:val="32"/>
              </w:rPr>
              <w:t>动力工程</w:t>
            </w:r>
          </w:p>
        </w:tc>
        <w:tc>
          <w:tcPr>
            <w:tcW w:w="2270" w:type="dxa"/>
            <w:tcBorders>
              <w:top w:val="single" w:color="CCCCCC" w:sz="6" w:space="0"/>
              <w:left w:val="single" w:color="CCCCCC" w:sz="6" w:space="0"/>
              <w:bottom w:val="single" w:color="CCCCCC" w:sz="6" w:space="0"/>
              <w:right w:val="single" w:color="CCCCCC" w:sz="6" w:space="0"/>
            </w:tcBorders>
            <w:tcMar>
              <w:top w:w="30" w:type="dxa"/>
              <w:left w:w="108" w:type="dxa"/>
              <w:bottom w:w="30" w:type="dxa"/>
              <w:right w:w="101" w:type="dxa"/>
            </w:tcMar>
            <w:vAlign w:val="center"/>
          </w:tcPr>
          <w:p w14:paraId="07910843">
            <w:pPr>
              <w:spacing w:line="560" w:lineRule="exact"/>
              <w:rPr>
                <w:rFonts w:ascii="仿宋_GB2312" w:eastAsia="仿宋_GB2312"/>
                <w:sz w:val="32"/>
                <w:szCs w:val="32"/>
              </w:rPr>
            </w:pPr>
            <w:r>
              <w:rPr>
                <w:rFonts w:hint="eastAsia" w:ascii="仿宋_GB2312" w:eastAsia="仿宋_GB2312"/>
                <w:sz w:val="32"/>
                <w:szCs w:val="32"/>
              </w:rPr>
              <w:t>专业型</w:t>
            </w:r>
          </w:p>
        </w:tc>
        <w:tc>
          <w:tcPr>
            <w:tcW w:w="1280" w:type="dxa"/>
            <w:tcBorders>
              <w:top w:val="single" w:color="CCCCCC" w:sz="6" w:space="0"/>
              <w:left w:val="single" w:color="CCCCCC" w:sz="6" w:space="0"/>
              <w:bottom w:val="single" w:color="CCCCCC" w:sz="6" w:space="0"/>
              <w:right w:val="single" w:color="CCCCCC" w:sz="6" w:space="0"/>
            </w:tcBorders>
            <w:tcMar>
              <w:top w:w="30" w:type="dxa"/>
              <w:left w:w="108" w:type="dxa"/>
              <w:bottom w:w="30" w:type="dxa"/>
              <w:right w:w="101" w:type="dxa"/>
            </w:tcMar>
            <w:vAlign w:val="center"/>
          </w:tcPr>
          <w:p w14:paraId="171D173A">
            <w:pPr>
              <w:spacing w:line="560" w:lineRule="exact"/>
              <w:rPr>
                <w:rFonts w:ascii="仿宋_GB2312" w:eastAsia="仿宋_GB2312"/>
                <w:sz w:val="32"/>
                <w:szCs w:val="32"/>
              </w:rPr>
            </w:pPr>
            <w:r>
              <w:rPr>
                <w:rFonts w:hint="eastAsia" w:ascii="仿宋_GB2312" w:eastAsia="仿宋_GB2312"/>
                <w:sz w:val="32"/>
                <w:szCs w:val="32"/>
              </w:rPr>
              <w:t>11</w:t>
            </w:r>
          </w:p>
        </w:tc>
      </w:tr>
      <w:tr w14:paraId="1F25514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60" w:hRule="atLeast"/>
        </w:trPr>
        <w:tc>
          <w:tcPr>
            <w:tcW w:w="1497" w:type="dxa"/>
            <w:tcBorders>
              <w:top w:val="single" w:color="CCCCCC" w:sz="6" w:space="0"/>
              <w:left w:val="single" w:color="CCCCCC" w:sz="6" w:space="0"/>
              <w:bottom w:val="single" w:color="CCCCCC" w:sz="6" w:space="0"/>
              <w:right w:val="single" w:color="CCCCCC" w:sz="6" w:space="0"/>
            </w:tcBorders>
            <w:tcMar>
              <w:top w:w="30" w:type="dxa"/>
              <w:left w:w="101" w:type="dxa"/>
              <w:bottom w:w="30" w:type="dxa"/>
              <w:right w:w="101" w:type="dxa"/>
            </w:tcMar>
            <w:vAlign w:val="center"/>
          </w:tcPr>
          <w:p w14:paraId="7F73572E">
            <w:pPr>
              <w:spacing w:line="560" w:lineRule="exact"/>
              <w:rPr>
                <w:rFonts w:ascii="仿宋_GB2312" w:eastAsia="仿宋_GB2312"/>
                <w:sz w:val="32"/>
                <w:szCs w:val="32"/>
              </w:rPr>
            </w:pPr>
            <w:r>
              <w:rPr>
                <w:rFonts w:hint="eastAsia" w:ascii="仿宋_GB2312" w:eastAsia="仿宋_GB2312"/>
                <w:sz w:val="32"/>
                <w:szCs w:val="32"/>
              </w:rPr>
              <w:t>085808</w:t>
            </w:r>
          </w:p>
        </w:tc>
        <w:tc>
          <w:tcPr>
            <w:tcW w:w="3098" w:type="dxa"/>
            <w:tcBorders>
              <w:top w:val="single" w:color="CCCCCC" w:sz="6" w:space="0"/>
              <w:left w:val="single" w:color="CCCCCC" w:sz="6" w:space="0"/>
              <w:bottom w:val="single" w:color="CCCCCC" w:sz="6" w:space="0"/>
              <w:right w:val="single" w:color="CCCCCC" w:sz="6" w:space="0"/>
            </w:tcBorders>
            <w:tcMar>
              <w:top w:w="30" w:type="dxa"/>
              <w:left w:w="108" w:type="dxa"/>
              <w:bottom w:w="30" w:type="dxa"/>
              <w:right w:w="101" w:type="dxa"/>
            </w:tcMar>
            <w:vAlign w:val="center"/>
          </w:tcPr>
          <w:p w14:paraId="53020A38">
            <w:pPr>
              <w:spacing w:line="560" w:lineRule="exact"/>
              <w:rPr>
                <w:rFonts w:ascii="仿宋_GB2312" w:eastAsia="仿宋_GB2312"/>
                <w:sz w:val="32"/>
                <w:szCs w:val="32"/>
              </w:rPr>
            </w:pPr>
            <w:r>
              <w:rPr>
                <w:rFonts w:hint="eastAsia" w:ascii="仿宋_GB2312" w:eastAsia="仿宋_GB2312"/>
                <w:sz w:val="32"/>
                <w:szCs w:val="32"/>
              </w:rPr>
              <w:t>储能技术</w:t>
            </w:r>
          </w:p>
        </w:tc>
        <w:tc>
          <w:tcPr>
            <w:tcW w:w="2270" w:type="dxa"/>
            <w:tcBorders>
              <w:top w:val="single" w:color="CCCCCC" w:sz="6" w:space="0"/>
              <w:left w:val="single" w:color="CCCCCC" w:sz="6" w:space="0"/>
              <w:bottom w:val="single" w:color="CCCCCC" w:sz="6" w:space="0"/>
              <w:right w:val="single" w:color="CCCCCC" w:sz="6" w:space="0"/>
            </w:tcBorders>
            <w:tcMar>
              <w:top w:w="30" w:type="dxa"/>
              <w:left w:w="108" w:type="dxa"/>
              <w:bottom w:w="30" w:type="dxa"/>
              <w:right w:w="101" w:type="dxa"/>
            </w:tcMar>
            <w:vAlign w:val="center"/>
          </w:tcPr>
          <w:p w14:paraId="63D6E63F">
            <w:pPr>
              <w:spacing w:line="560" w:lineRule="exact"/>
              <w:rPr>
                <w:rFonts w:ascii="仿宋_GB2312" w:eastAsia="仿宋_GB2312"/>
                <w:sz w:val="32"/>
                <w:szCs w:val="32"/>
              </w:rPr>
            </w:pPr>
            <w:r>
              <w:rPr>
                <w:rFonts w:hint="eastAsia" w:ascii="仿宋_GB2312" w:eastAsia="仿宋_GB2312"/>
                <w:sz w:val="32"/>
                <w:szCs w:val="32"/>
              </w:rPr>
              <w:t>专业型</w:t>
            </w:r>
          </w:p>
        </w:tc>
        <w:tc>
          <w:tcPr>
            <w:tcW w:w="1280" w:type="dxa"/>
            <w:tcBorders>
              <w:top w:val="single" w:color="CCCCCC" w:sz="6" w:space="0"/>
              <w:left w:val="single" w:color="CCCCCC" w:sz="6" w:space="0"/>
              <w:bottom w:val="single" w:color="CCCCCC" w:sz="6" w:space="0"/>
              <w:right w:val="single" w:color="CCCCCC" w:sz="6" w:space="0"/>
            </w:tcBorders>
            <w:tcMar>
              <w:top w:w="30" w:type="dxa"/>
              <w:left w:w="108" w:type="dxa"/>
              <w:bottom w:w="30" w:type="dxa"/>
              <w:right w:w="101" w:type="dxa"/>
            </w:tcMar>
            <w:vAlign w:val="center"/>
          </w:tcPr>
          <w:p w14:paraId="0B23CBC2">
            <w:pPr>
              <w:spacing w:line="560" w:lineRule="exact"/>
              <w:rPr>
                <w:rFonts w:ascii="仿宋_GB2312" w:eastAsia="仿宋_GB2312"/>
                <w:sz w:val="32"/>
                <w:szCs w:val="32"/>
              </w:rPr>
            </w:pPr>
            <w:r>
              <w:rPr>
                <w:rFonts w:hint="eastAsia" w:ascii="仿宋_GB2312" w:eastAsia="仿宋_GB2312"/>
                <w:sz w:val="32"/>
                <w:szCs w:val="32"/>
              </w:rPr>
              <w:t>6</w:t>
            </w:r>
          </w:p>
        </w:tc>
      </w:tr>
    </w:tbl>
    <w:p w14:paraId="0CBCA215">
      <w:pPr>
        <w:spacing w:line="560" w:lineRule="exact"/>
        <w:ind w:firstLine="640" w:firstLineChars="200"/>
        <w:rPr>
          <w:rFonts w:ascii="仿宋_GB2312" w:eastAsia="仿宋_GB2312"/>
          <w:sz w:val="32"/>
          <w:szCs w:val="32"/>
        </w:rPr>
      </w:pPr>
      <w:r>
        <w:rPr>
          <w:rFonts w:hint="eastAsia" w:ascii="仿宋_GB2312" w:eastAsia="仿宋_GB2312"/>
          <w:sz w:val="32"/>
          <w:szCs w:val="32"/>
        </w:rPr>
        <w:t>（二）申请条件</w:t>
      </w:r>
    </w:p>
    <w:p w14:paraId="5833B057">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拥护中国共产党的领导，愿为社会主义现代化建设服务，品德良好，遵纪守法。</w:t>
      </w:r>
    </w:p>
    <w:p w14:paraId="3B4E2404">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获得所在学校推荐免试资格的大学优秀应届本科毕业生。</w:t>
      </w:r>
    </w:p>
    <w:p w14:paraId="5C4637D0">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满足我院各接收推免生学科专业或类别领域提出的要求。</w:t>
      </w:r>
    </w:p>
    <w:p w14:paraId="3572B460">
      <w:pPr>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申请人外语水平须满足下列条件之一：</w:t>
      </w:r>
    </w:p>
    <w:p w14:paraId="1D550EDF">
      <w:pPr>
        <w:spacing w:line="560" w:lineRule="exact"/>
        <w:ind w:firstLine="640" w:firstLineChars="200"/>
        <w:rPr>
          <w:rFonts w:ascii="仿宋_GB2312" w:eastAsia="仿宋_GB2312"/>
          <w:sz w:val="32"/>
          <w:szCs w:val="32"/>
        </w:rPr>
      </w:pPr>
      <w:r>
        <w:rPr>
          <w:rFonts w:hint="eastAsia" w:ascii="仿宋_GB2312" w:eastAsia="仿宋_GB2312"/>
          <w:sz w:val="32"/>
          <w:szCs w:val="32"/>
        </w:rPr>
        <w:t>申请硕士研究生，要求全国大学英语四级成绩不低于425分。</w:t>
      </w:r>
    </w:p>
    <w:p w14:paraId="57F8CA95">
      <w:pPr>
        <w:spacing w:line="560" w:lineRule="exact"/>
        <w:ind w:firstLine="640" w:firstLineChars="200"/>
        <w:rPr>
          <w:rFonts w:ascii="仿宋_GB2312" w:eastAsia="仿宋_GB2312"/>
          <w:sz w:val="32"/>
          <w:szCs w:val="32"/>
        </w:rPr>
      </w:pPr>
      <w:r>
        <w:rPr>
          <w:rFonts w:hint="eastAsia" w:ascii="仿宋_GB2312" w:eastAsia="仿宋_GB2312"/>
          <w:sz w:val="32"/>
          <w:szCs w:val="32"/>
        </w:rPr>
        <w:t>申请直博生，要求全国大学英语六级成绩不低于425分，或雅思成绩达到6.5或托福成绩达到90分。</w:t>
      </w:r>
    </w:p>
    <w:p w14:paraId="2487ED6A">
      <w:pPr>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申请学科专业或类别领域只限与申请人本科所学专业同一学科门类，原则上不接收跨一级学科申请。</w:t>
      </w:r>
    </w:p>
    <w:p w14:paraId="290895A9">
      <w:pPr>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学术研究兴趣浓厚，有较强的创新意识、创新能力和专业能力。</w:t>
      </w:r>
    </w:p>
    <w:p w14:paraId="030FBFE6">
      <w:pPr>
        <w:spacing w:line="560" w:lineRule="exact"/>
        <w:ind w:firstLine="640" w:firstLineChars="200"/>
        <w:rPr>
          <w:rFonts w:ascii="仿宋_GB2312" w:eastAsia="仿宋_GB2312"/>
          <w:sz w:val="32"/>
          <w:szCs w:val="32"/>
        </w:rPr>
      </w:pPr>
      <w:r>
        <w:rPr>
          <w:rFonts w:hint="eastAsia" w:ascii="仿宋_GB2312" w:eastAsia="仿宋_GB2312"/>
          <w:sz w:val="32"/>
          <w:szCs w:val="32"/>
        </w:rPr>
        <w:t>7.诚实守信，学风端正，无学术不端行为，无违法违纪记录。</w:t>
      </w:r>
    </w:p>
    <w:p w14:paraId="511E0078">
      <w:pPr>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身体健康状况符合规定的体检标准。</w:t>
      </w:r>
    </w:p>
    <w:p w14:paraId="52F5FE34">
      <w:pPr>
        <w:spacing w:line="560" w:lineRule="exact"/>
        <w:ind w:firstLine="640" w:firstLineChars="200"/>
        <w:rPr>
          <w:rFonts w:ascii="黑体" w:hAnsi="黑体" w:eastAsia="黑体"/>
          <w:sz w:val="32"/>
          <w:szCs w:val="32"/>
        </w:rPr>
      </w:pPr>
      <w:r>
        <w:rPr>
          <w:rFonts w:hint="eastAsia" w:ascii="黑体" w:hAnsi="黑体" w:eastAsia="黑体"/>
          <w:sz w:val="32"/>
          <w:szCs w:val="32"/>
        </w:rPr>
        <w:t>二、报名及复试时间安排</w:t>
      </w:r>
    </w:p>
    <w:p w14:paraId="5ECF2941">
      <w:pPr>
        <w:spacing w:line="560" w:lineRule="exact"/>
        <w:ind w:firstLine="640" w:firstLineChars="200"/>
        <w:rPr>
          <w:rFonts w:ascii="仿宋_GB2312" w:eastAsia="仿宋_GB2312"/>
          <w:sz w:val="32"/>
          <w:szCs w:val="32"/>
        </w:rPr>
      </w:pPr>
      <w:r>
        <w:rPr>
          <w:rFonts w:hint="eastAsia" w:ascii="仿宋_GB2312" w:eastAsia="仿宋_GB2312"/>
          <w:sz w:val="32"/>
          <w:szCs w:val="32"/>
        </w:rPr>
        <w:t>（一）报名方式</w:t>
      </w:r>
    </w:p>
    <w:p w14:paraId="41266F9D">
      <w:pPr>
        <w:spacing w:line="560" w:lineRule="exact"/>
        <w:ind w:firstLine="640" w:firstLineChars="200"/>
        <w:rPr>
          <w:rFonts w:ascii="仿宋_GB2312" w:eastAsia="仿宋_GB2312"/>
          <w:sz w:val="32"/>
          <w:szCs w:val="32"/>
        </w:rPr>
      </w:pPr>
      <w:r>
        <w:rPr>
          <w:rFonts w:hint="eastAsia" w:ascii="仿宋_GB2312" w:eastAsia="仿宋_GB2312"/>
          <w:sz w:val="32"/>
          <w:szCs w:val="32"/>
        </w:rPr>
        <w:t>1.系统报名</w:t>
      </w:r>
    </w:p>
    <w:p w14:paraId="76E1B850">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满足我院申请条件的优秀应届本科毕业生，均可通过“华北电力大学接收推荐免试研究生网上申请系统”进行报名，网址为</w:t>
      </w:r>
      <w:r>
        <w:fldChar w:fldCharType="begin"/>
      </w:r>
      <w:r>
        <w:instrText xml:space="preserve"> HYPERLINK "https://yjszs.ncepu.edu.cn/zsgl/tmsgl/default.aspx" </w:instrText>
      </w:r>
      <w:r>
        <w:fldChar w:fldCharType="separate"/>
      </w:r>
      <w:r>
        <w:rPr>
          <w:rStyle w:val="6"/>
          <w:rFonts w:hint="eastAsia" w:ascii="仿宋_GB2312" w:eastAsia="仿宋_GB2312"/>
          <w:sz w:val="32"/>
          <w:szCs w:val="32"/>
        </w:rPr>
        <w:t>https://yjszs.ncepu.edu.cn/zsgl/tmsgl/default.aspx</w:t>
      </w:r>
      <w:r>
        <w:rPr>
          <w:rStyle w:val="6"/>
          <w:rFonts w:hint="eastAsia" w:ascii="仿宋_GB2312" w:eastAsia="仿宋_GB2312"/>
          <w:sz w:val="32"/>
          <w:szCs w:val="32"/>
        </w:rPr>
        <w:fldChar w:fldCharType="end"/>
      </w:r>
    </w:p>
    <w:p w14:paraId="00CDFB20">
      <w:pPr>
        <w:spacing w:line="560" w:lineRule="exact"/>
        <w:rPr>
          <w:rFonts w:ascii="仿宋_GB2312" w:eastAsia="仿宋_GB2312"/>
          <w:sz w:val="32"/>
          <w:szCs w:val="32"/>
        </w:rPr>
      </w:pPr>
      <w:r>
        <w:rPr>
          <w:rFonts w:hint="eastAsia" w:ascii="仿宋_GB2312" w:eastAsia="仿宋_GB2312"/>
          <w:sz w:val="32"/>
          <w:szCs w:val="32"/>
        </w:rPr>
        <w:t>报名系统中所需上传的附件pdf文件为下面的资格审查材料，请用“扫描全能王”手机APP 将资格审查所需材料按顺序扫描成pdf文档，命名规则“硕士/直博-报考专业名称-姓名”，上传至报名系统。</w:t>
      </w:r>
    </w:p>
    <w:p w14:paraId="1DCA87F3">
      <w:pPr>
        <w:spacing w:line="560" w:lineRule="exact"/>
        <w:ind w:firstLine="640" w:firstLineChars="200"/>
        <w:rPr>
          <w:rFonts w:ascii="仿宋_GB2312" w:eastAsia="仿宋_GB2312"/>
          <w:sz w:val="32"/>
          <w:szCs w:val="32"/>
        </w:rPr>
      </w:pPr>
      <w:r>
        <w:rPr>
          <w:rFonts w:hint="eastAsia" w:ascii="仿宋_GB2312" w:eastAsia="仿宋_GB2312"/>
          <w:sz w:val="32"/>
          <w:szCs w:val="32"/>
        </w:rPr>
        <w:t>申请报名截止时间：2024年9月2</w:t>
      </w:r>
      <w:r>
        <w:rPr>
          <w:rFonts w:ascii="仿宋_GB2312" w:eastAsia="仿宋_GB2312"/>
          <w:sz w:val="32"/>
          <w:szCs w:val="32"/>
        </w:rPr>
        <w:t>3</w:t>
      </w:r>
      <w:r>
        <w:rPr>
          <w:rFonts w:hint="eastAsia" w:ascii="仿宋_GB2312" w:eastAsia="仿宋_GB2312"/>
          <w:sz w:val="32"/>
          <w:szCs w:val="32"/>
        </w:rPr>
        <w:t>日 下午</w:t>
      </w:r>
      <w:r>
        <w:rPr>
          <w:rFonts w:ascii="仿宋_GB2312" w:eastAsia="仿宋_GB2312"/>
          <w:sz w:val="32"/>
          <w:szCs w:val="32"/>
        </w:rPr>
        <w:t>4</w:t>
      </w:r>
      <w:r>
        <w:rPr>
          <w:rFonts w:hint="eastAsia" w:ascii="仿宋_GB2312" w:eastAsia="仿宋_GB2312"/>
          <w:sz w:val="32"/>
          <w:szCs w:val="32"/>
        </w:rPr>
        <w:t>：</w:t>
      </w:r>
      <w:r>
        <w:rPr>
          <w:rFonts w:ascii="仿宋_GB2312" w:eastAsia="仿宋_GB2312"/>
          <w:sz w:val="32"/>
          <w:szCs w:val="32"/>
        </w:rPr>
        <w:t>3</w:t>
      </w:r>
      <w:r>
        <w:rPr>
          <w:rFonts w:hint="eastAsia" w:ascii="仿宋_GB2312" w:eastAsia="仿宋_GB2312"/>
          <w:sz w:val="32"/>
          <w:szCs w:val="32"/>
        </w:rPr>
        <w:t>0。</w:t>
      </w:r>
    </w:p>
    <w:p w14:paraId="5A510C8A">
      <w:pPr>
        <w:spacing w:line="560" w:lineRule="exact"/>
        <w:ind w:firstLine="640" w:firstLineChars="200"/>
        <w:rPr>
          <w:rFonts w:ascii="仿宋_GB2312" w:eastAsia="仿宋_GB2312"/>
          <w:sz w:val="32"/>
          <w:szCs w:val="32"/>
        </w:rPr>
      </w:pPr>
      <w:r>
        <w:rPr>
          <w:rFonts w:hint="eastAsia" w:ascii="仿宋_GB2312" w:eastAsia="仿宋_GB2312"/>
          <w:sz w:val="32"/>
          <w:szCs w:val="32"/>
        </w:rPr>
        <w:t>2.扫码进群</w:t>
      </w:r>
    </w:p>
    <w:p w14:paraId="5B419D91">
      <w:pPr>
        <w:spacing w:line="560" w:lineRule="exact"/>
        <w:ind w:firstLine="640" w:firstLineChars="200"/>
        <w:rPr>
          <w:rFonts w:ascii="仿宋_GB2312" w:eastAsia="仿宋_GB2312"/>
          <w:sz w:val="32"/>
          <w:szCs w:val="32"/>
        </w:rPr>
      </w:pPr>
      <w:r>
        <w:rPr>
          <w:rFonts w:hint="eastAsia" w:ascii="仿宋_GB2312" w:eastAsia="仿宋_GB2312"/>
          <w:sz w:val="32"/>
          <w:szCs w:val="32"/>
        </w:rPr>
        <w:drawing>
          <wp:anchor distT="0" distB="0" distL="114300" distR="114300" simplePos="0" relativeHeight="251659264" behindDoc="1" locked="0" layoutInCell="1" allowOverlap="1">
            <wp:simplePos x="0" y="0"/>
            <wp:positionH relativeFrom="margin">
              <wp:posOffset>2240915</wp:posOffset>
            </wp:positionH>
            <wp:positionV relativeFrom="margin">
              <wp:posOffset>3949700</wp:posOffset>
            </wp:positionV>
            <wp:extent cx="1344295" cy="1885950"/>
            <wp:effectExtent l="0" t="0" r="8255"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44295" cy="1885950"/>
                    </a:xfrm>
                    <a:prstGeom prst="rect">
                      <a:avLst/>
                    </a:prstGeom>
                  </pic:spPr>
                </pic:pic>
              </a:graphicData>
            </a:graphic>
          </wp:anchor>
        </w:drawing>
      </w:r>
      <w:r>
        <w:rPr>
          <w:rFonts w:hint="eastAsia" w:ascii="仿宋_GB2312" w:eastAsia="仿宋_GB2312"/>
          <w:sz w:val="32"/>
          <w:szCs w:val="32"/>
        </w:rPr>
        <w:t>报名同时请务必微信扫码加入“2025创新院推免复试群”（入群后将备注为真实姓名+本科院校）。</w:t>
      </w:r>
    </w:p>
    <w:p w14:paraId="2FE1DDAE">
      <w:pPr>
        <w:spacing w:line="560" w:lineRule="exact"/>
        <w:ind w:firstLine="640" w:firstLineChars="200"/>
        <w:rPr>
          <w:rFonts w:ascii="仿宋_GB2312" w:eastAsia="仿宋_GB2312"/>
          <w:sz w:val="32"/>
          <w:szCs w:val="32"/>
        </w:rPr>
      </w:pPr>
      <w:r>
        <w:rPr>
          <w:rFonts w:hint="eastAsia" w:ascii="仿宋_GB2312" w:eastAsia="仿宋_GB2312"/>
          <w:sz w:val="32"/>
          <w:szCs w:val="32"/>
        </w:rPr>
        <w:t>（三）资格审查及复试时间安排：</w:t>
      </w:r>
    </w:p>
    <w:p w14:paraId="6858ADE4">
      <w:pPr>
        <w:spacing w:line="560" w:lineRule="exact"/>
        <w:ind w:firstLine="640" w:firstLineChars="200"/>
        <w:rPr>
          <w:rFonts w:ascii="仿宋_GB2312" w:eastAsia="仿宋_GB2312"/>
          <w:sz w:val="32"/>
          <w:szCs w:val="32"/>
        </w:rPr>
      </w:pPr>
      <w:r>
        <w:rPr>
          <w:rFonts w:hint="eastAsia" w:ascii="仿宋_GB2312" w:eastAsia="仿宋_GB2312"/>
          <w:sz w:val="32"/>
          <w:szCs w:val="32"/>
        </w:rPr>
        <w:t>1.资格审查</w:t>
      </w:r>
    </w:p>
    <w:p w14:paraId="680C4EEB">
      <w:pPr>
        <w:spacing w:line="560" w:lineRule="exact"/>
        <w:ind w:firstLine="640" w:firstLineChars="200"/>
        <w:rPr>
          <w:rFonts w:ascii="仿宋_GB2312" w:eastAsia="仿宋_GB2312"/>
          <w:sz w:val="32"/>
          <w:szCs w:val="32"/>
        </w:rPr>
      </w:pPr>
      <w:r>
        <w:rPr>
          <w:rFonts w:hint="eastAsia" w:ascii="仿宋_GB2312" w:eastAsia="仿宋_GB2312"/>
          <w:sz w:val="32"/>
          <w:szCs w:val="32"/>
        </w:rPr>
        <w:t>资格审查时间另行通知。资格审查时请备好所有材料原件，材料不齐全者认定为资格审查不合格，不能参加复试。</w:t>
      </w:r>
    </w:p>
    <w:p w14:paraId="447D508E">
      <w:pPr>
        <w:spacing w:line="560" w:lineRule="exact"/>
        <w:ind w:firstLine="640" w:firstLineChars="200"/>
        <w:rPr>
          <w:rFonts w:ascii="仿宋_GB2312" w:eastAsia="仿宋_GB2312"/>
          <w:sz w:val="32"/>
          <w:szCs w:val="32"/>
        </w:rPr>
      </w:pPr>
      <w:r>
        <w:rPr>
          <w:rFonts w:hint="eastAsia" w:ascii="仿宋_GB2312" w:eastAsia="仿宋_GB2312"/>
          <w:sz w:val="32"/>
          <w:szCs w:val="32"/>
        </w:rPr>
        <w:t>资格审查材料清单：</w:t>
      </w:r>
    </w:p>
    <w:p w14:paraId="374DAFC6">
      <w:pPr>
        <w:spacing w:line="560" w:lineRule="exact"/>
        <w:ind w:firstLine="640" w:firstLineChars="200"/>
        <w:rPr>
          <w:rFonts w:ascii="仿宋_GB2312" w:eastAsia="仿宋_GB2312"/>
          <w:sz w:val="32"/>
          <w:szCs w:val="32"/>
        </w:rPr>
      </w:pPr>
      <w:r>
        <w:rPr>
          <w:rFonts w:hint="eastAsia" w:ascii="仿宋_GB2312" w:eastAsia="仿宋_GB2312"/>
          <w:sz w:val="32"/>
          <w:szCs w:val="32"/>
        </w:rPr>
        <w:t>（1）华北电力大学2025年接收推荐免试研究生申请表原件1份。（此表须正反面打印）</w:t>
      </w:r>
    </w:p>
    <w:p w14:paraId="669E6FCD">
      <w:pPr>
        <w:spacing w:line="560" w:lineRule="exact"/>
        <w:ind w:firstLine="640" w:firstLineChars="200"/>
        <w:rPr>
          <w:rFonts w:ascii="仿宋_GB2312" w:eastAsia="仿宋_GB2312"/>
          <w:sz w:val="32"/>
          <w:szCs w:val="32"/>
        </w:rPr>
      </w:pPr>
      <w:r>
        <w:rPr>
          <w:rFonts w:hint="eastAsia" w:ascii="仿宋_GB2312" w:eastAsia="仿宋_GB2312"/>
          <w:sz w:val="32"/>
          <w:szCs w:val="32"/>
        </w:rPr>
        <w:t>申请直博生须要先征得拟报考导师同意并签字，导师不同意者报考资格无效。</w:t>
      </w:r>
    </w:p>
    <w:p w14:paraId="5C4F006A">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申请硕士生务必填写申请表中的“拟报导师”一项，导师信息详见</w:t>
      </w:r>
    </w:p>
    <w:p w14:paraId="00E1A71B">
      <w:pPr>
        <w:spacing w:line="560" w:lineRule="exact"/>
        <w:rPr>
          <w:rFonts w:ascii="仿宋_GB2312" w:eastAsia="仿宋_GB2312"/>
          <w:sz w:val="32"/>
          <w:szCs w:val="32"/>
        </w:rPr>
      </w:pPr>
      <w:r>
        <w:rPr>
          <w:rFonts w:ascii="仿宋_GB2312" w:eastAsia="仿宋_GB2312"/>
          <w:sz w:val="32"/>
          <w:szCs w:val="32"/>
        </w:rPr>
        <w:t>https://iepi.ncepu.edu.cn/cxyjs/kyfxjtd/780ac3a1212c4ece846fd690d999b9cb.htm</w:t>
      </w:r>
    </w:p>
    <w:p w14:paraId="7E3754FD">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）华北电力大学2025年研究生入学考试政审表原件1份。</w:t>
      </w:r>
    </w:p>
    <w:p w14:paraId="30ED80C3">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3</w:t>
      </w:r>
      <w:r>
        <w:rPr>
          <w:rFonts w:hint="eastAsia" w:ascii="仿宋_GB2312" w:eastAsia="仿宋_GB2312"/>
          <w:sz w:val="32"/>
          <w:szCs w:val="32"/>
        </w:rPr>
        <w:t>）加盖学校教务处公章的本科1—6学期成绩单原件1份。</w:t>
      </w:r>
    </w:p>
    <w:p w14:paraId="719521EE">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4</w:t>
      </w:r>
      <w:r>
        <w:rPr>
          <w:rFonts w:hint="eastAsia" w:ascii="仿宋_GB2312" w:eastAsia="仿宋_GB2312"/>
          <w:sz w:val="32"/>
          <w:szCs w:val="32"/>
        </w:rPr>
        <w:t>）全国大学英语四、六级成绩单或体现自身英语同等水平证明复印件1份。</w:t>
      </w:r>
    </w:p>
    <w:p w14:paraId="4E41EBF5">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5</w:t>
      </w:r>
      <w:r>
        <w:rPr>
          <w:rFonts w:hint="eastAsia" w:ascii="仿宋_GB2312" w:eastAsia="仿宋_GB2312"/>
          <w:sz w:val="32"/>
          <w:szCs w:val="32"/>
        </w:rPr>
        <w:t>）有效期内的学生证复印件1份（注册章清晰、齐全，照片页和注册页须复印在一页纸上）。</w:t>
      </w:r>
    </w:p>
    <w:p w14:paraId="50807AE3">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6</w:t>
      </w:r>
      <w:r>
        <w:rPr>
          <w:rFonts w:hint="eastAsia" w:ascii="仿宋_GB2312" w:eastAsia="仿宋_GB2312"/>
          <w:sz w:val="32"/>
          <w:szCs w:val="32"/>
        </w:rPr>
        <w:t>）有效居民身份证复印件1份（正反面须复印在一页纸上）。</w:t>
      </w:r>
    </w:p>
    <w:p w14:paraId="76B46BEA">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7</w:t>
      </w:r>
      <w:r>
        <w:rPr>
          <w:rFonts w:hint="eastAsia" w:ascii="仿宋_GB2312" w:eastAsia="仿宋_GB2312"/>
          <w:sz w:val="32"/>
          <w:szCs w:val="32"/>
        </w:rPr>
        <w:t>）其它证明申请人学术水平和业务能力的学术论文或获奖证书等材料复印件1份。</w:t>
      </w:r>
    </w:p>
    <w:p w14:paraId="3DB133C4">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8</w:t>
      </w:r>
      <w:r>
        <w:rPr>
          <w:rFonts w:hint="eastAsia" w:ascii="仿宋_GB2312" w:eastAsia="仿宋_GB2312"/>
          <w:sz w:val="32"/>
          <w:szCs w:val="32"/>
        </w:rPr>
        <w:t>）申请直博生还须提交至少两名所报考学科专业领域内的教授（或相当专业技术职称的专家）的书面推荐意见和考生个人陈述1份。</w:t>
      </w:r>
    </w:p>
    <w:p w14:paraId="36485EE5">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9</w:t>
      </w:r>
      <w:r>
        <w:rPr>
          <w:rFonts w:hint="eastAsia" w:ascii="仿宋_GB2312" w:eastAsia="仿宋_GB2312"/>
          <w:sz w:val="32"/>
          <w:szCs w:val="32"/>
        </w:rPr>
        <w:t>）华北电力大学2025年接收推免生特殊学术专长审核备案表原件（具有学术专长考生提供）。</w:t>
      </w:r>
    </w:p>
    <w:p w14:paraId="2A5D9C86">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10</w:t>
      </w:r>
      <w:r>
        <w:rPr>
          <w:rFonts w:hint="eastAsia" w:ascii="仿宋_GB2312" w:eastAsia="仿宋_GB2312"/>
          <w:sz w:val="32"/>
          <w:szCs w:val="32"/>
        </w:rPr>
        <w:t>）复试考生诚信承诺书。</w:t>
      </w:r>
    </w:p>
    <w:p w14:paraId="24BC437D">
      <w:pPr>
        <w:spacing w:line="560" w:lineRule="exact"/>
        <w:ind w:firstLine="640" w:firstLineChars="200"/>
        <w:rPr>
          <w:rFonts w:ascii="仿宋_GB2312" w:eastAsia="仿宋_GB2312"/>
          <w:sz w:val="32"/>
          <w:szCs w:val="32"/>
        </w:rPr>
      </w:pPr>
      <w:r>
        <w:rPr>
          <w:rFonts w:hint="eastAsia" w:ascii="仿宋_GB2312" w:eastAsia="仿宋_GB2312"/>
          <w:sz w:val="32"/>
          <w:szCs w:val="32"/>
        </w:rPr>
        <w:t>以上材料使用A4纸复印或打印，资格审查时需要提交以上材料的复印件和原件查验，所有材料一经收到，恕不退还。</w:t>
      </w:r>
    </w:p>
    <w:p w14:paraId="627B0269">
      <w:pPr>
        <w:spacing w:line="560" w:lineRule="exact"/>
        <w:ind w:firstLine="640" w:firstLineChars="200"/>
        <w:rPr>
          <w:rFonts w:ascii="仿宋_GB2312" w:eastAsia="仿宋_GB2312"/>
          <w:sz w:val="32"/>
          <w:szCs w:val="32"/>
        </w:rPr>
      </w:pPr>
      <w:r>
        <w:rPr>
          <w:rFonts w:hint="eastAsia" w:ascii="仿宋_GB2312" w:eastAsia="仿宋_GB2312"/>
          <w:sz w:val="32"/>
          <w:szCs w:val="32"/>
        </w:rPr>
        <w:t>2.复试时间：预计9月26日上午</w:t>
      </w:r>
      <w:r>
        <w:rPr>
          <w:rFonts w:ascii="仿宋_GB2312" w:eastAsia="仿宋_GB2312"/>
          <w:sz w:val="32"/>
          <w:szCs w:val="32"/>
        </w:rPr>
        <w:t>9</w:t>
      </w:r>
      <w:r>
        <w:rPr>
          <w:rFonts w:hint="eastAsia" w:ascii="仿宋_GB2312" w:eastAsia="仿宋_GB2312"/>
          <w:sz w:val="32"/>
          <w:szCs w:val="32"/>
        </w:rPr>
        <w:t>：</w:t>
      </w:r>
      <w:r>
        <w:rPr>
          <w:rFonts w:ascii="仿宋_GB2312" w:eastAsia="仿宋_GB2312"/>
          <w:sz w:val="32"/>
          <w:szCs w:val="32"/>
        </w:rPr>
        <w:t>0</w:t>
      </w:r>
      <w:r>
        <w:rPr>
          <w:rFonts w:hint="eastAsia" w:ascii="仿宋_GB2312" w:eastAsia="仿宋_GB2312"/>
          <w:sz w:val="32"/>
          <w:szCs w:val="32"/>
        </w:rPr>
        <w:t>0开始，采用考生线上网络远程复试（复试平台：腾讯会议）的形式，具体复试安排详见微信群及后期各小组通知，若有变动，另行通知。</w:t>
      </w:r>
    </w:p>
    <w:p w14:paraId="024BA9E5">
      <w:pPr>
        <w:spacing w:line="560" w:lineRule="exact"/>
        <w:ind w:firstLine="640" w:firstLineChars="200"/>
        <w:rPr>
          <w:rFonts w:ascii="仿宋_GB2312" w:eastAsia="仿宋_GB2312"/>
          <w:sz w:val="32"/>
          <w:szCs w:val="32"/>
        </w:rPr>
      </w:pPr>
      <w:r>
        <w:rPr>
          <w:rFonts w:hint="eastAsia" w:ascii="仿宋_GB2312" w:eastAsia="仿宋_GB2312"/>
          <w:sz w:val="32"/>
          <w:szCs w:val="32"/>
        </w:rPr>
        <w:t>3.录取名单确定后，学院将通过中国研究生招生信息网“推免服务系统”向拟录取考生发送待录取通知，考生接到待录取通知后，需在待录取通知规定的时间内点击确认接收，录取方为有效，否则视为自动放弃录取。</w:t>
      </w:r>
    </w:p>
    <w:p w14:paraId="5EE29F87">
      <w:pPr>
        <w:spacing w:line="560" w:lineRule="exact"/>
        <w:ind w:firstLine="640" w:firstLineChars="200"/>
        <w:rPr>
          <w:rFonts w:ascii="仿宋_GB2312" w:eastAsia="仿宋_GB2312"/>
          <w:sz w:val="32"/>
          <w:szCs w:val="32"/>
        </w:rPr>
      </w:pPr>
      <w:r>
        <w:rPr>
          <w:rFonts w:hint="eastAsia" w:ascii="仿宋_GB2312" w:eastAsia="仿宋_GB2312"/>
          <w:sz w:val="32"/>
          <w:szCs w:val="32"/>
        </w:rPr>
        <w:t>重要说明：9月28日中国研究生招生信息网“推免服务系统”开放后，申请推荐免试攻读我院研究生者（含本校推免生），必须登陆中国研究生招生信息网“推免服务系统”（</w:t>
      </w:r>
      <w:r>
        <w:fldChar w:fldCharType="begin"/>
      </w:r>
      <w:r>
        <w:instrText xml:space="preserve"> HYPERLINK "http://yz.chsi.com.cn/tm" </w:instrText>
      </w:r>
      <w:r>
        <w:fldChar w:fldCharType="separate"/>
      </w:r>
      <w:r>
        <w:rPr>
          <w:rStyle w:val="6"/>
          <w:rFonts w:hint="eastAsia" w:ascii="仿宋_GB2312" w:eastAsia="仿宋_GB2312"/>
          <w:sz w:val="32"/>
          <w:szCs w:val="32"/>
        </w:rPr>
        <w:t>http://yz.chsi.com.cn/tm</w:t>
      </w:r>
      <w:r>
        <w:rPr>
          <w:rStyle w:val="6"/>
          <w:rFonts w:hint="eastAsia" w:ascii="仿宋_GB2312" w:eastAsia="仿宋_GB2312"/>
          <w:sz w:val="32"/>
          <w:szCs w:val="32"/>
        </w:rPr>
        <w:fldChar w:fldCharType="end"/>
      </w:r>
      <w:r>
        <w:rPr>
          <w:rFonts w:hint="eastAsia" w:ascii="仿宋_GB2312" w:eastAsia="仿宋_GB2312"/>
          <w:sz w:val="32"/>
          <w:szCs w:val="32"/>
        </w:rPr>
        <w:t>）在规定的时间内进行招生专业目录查询、信息注册、照片上传、缴费、填报志愿，报考我校请选择北京市-10054华北电力大学，并选择能源电力创新研究院以及报考专业，网上完成接收并确认我院的复试及待录取通知等环节。</w:t>
      </w:r>
    </w:p>
    <w:p w14:paraId="641EB633">
      <w:pPr>
        <w:spacing w:line="560" w:lineRule="exact"/>
        <w:ind w:firstLine="640" w:firstLineChars="200"/>
        <w:rPr>
          <w:rFonts w:ascii="黑体" w:hAnsi="黑体" w:eastAsia="黑体"/>
          <w:sz w:val="32"/>
          <w:szCs w:val="32"/>
        </w:rPr>
      </w:pPr>
      <w:r>
        <w:rPr>
          <w:rFonts w:hint="eastAsia" w:ascii="黑体" w:hAnsi="黑体" w:eastAsia="黑体"/>
          <w:sz w:val="32"/>
          <w:szCs w:val="32"/>
        </w:rPr>
        <w:t>四、复试及录取</w:t>
      </w:r>
    </w:p>
    <w:p w14:paraId="5A140555">
      <w:pPr>
        <w:spacing w:line="560" w:lineRule="exact"/>
        <w:ind w:firstLine="640" w:firstLineChars="200"/>
        <w:rPr>
          <w:rFonts w:ascii="仿宋_GB2312" w:eastAsia="仿宋_GB2312"/>
          <w:sz w:val="32"/>
          <w:szCs w:val="32"/>
        </w:rPr>
      </w:pPr>
      <w:r>
        <w:rPr>
          <w:rFonts w:hint="eastAsia" w:ascii="仿宋_GB2312" w:eastAsia="仿宋_GB2312"/>
          <w:sz w:val="32"/>
          <w:szCs w:val="32"/>
        </w:rPr>
        <w:t>1.通过资格审查的推免生均需参加接收学科专业或类别领域的复试，复试内容包括：综合素质及能力测试、外语听力及口语测试和考生申请材料评价等。</w:t>
      </w:r>
    </w:p>
    <w:p w14:paraId="60472F13">
      <w:pPr>
        <w:spacing w:line="560" w:lineRule="exact"/>
        <w:ind w:firstLine="640" w:firstLineChars="200"/>
        <w:rPr>
          <w:rFonts w:ascii="仿宋_GB2312" w:eastAsia="仿宋_GB2312"/>
          <w:sz w:val="32"/>
          <w:szCs w:val="32"/>
        </w:rPr>
      </w:pPr>
      <w:r>
        <w:rPr>
          <w:rFonts w:hint="eastAsia" w:ascii="仿宋_GB2312" w:eastAsia="仿宋_GB2312"/>
          <w:sz w:val="32"/>
          <w:szCs w:val="32"/>
        </w:rPr>
        <w:t>2.所有接收的推免生需进行体检，体检标准参照普通高等学校招生体检工作指导意见，体检不合格者不予录取，体检安排后续通知。</w:t>
      </w:r>
    </w:p>
    <w:p w14:paraId="1AB0849F">
      <w:pPr>
        <w:spacing w:line="560" w:lineRule="exact"/>
        <w:ind w:firstLine="640" w:firstLineChars="200"/>
        <w:rPr>
          <w:rFonts w:ascii="仿宋_GB2312" w:eastAsia="仿宋_GB2312"/>
          <w:sz w:val="32"/>
          <w:szCs w:val="32"/>
        </w:rPr>
      </w:pPr>
      <w:r>
        <w:rPr>
          <w:rFonts w:hint="eastAsia" w:ascii="仿宋_GB2312" w:eastAsia="仿宋_GB2312"/>
          <w:sz w:val="32"/>
          <w:szCs w:val="32"/>
        </w:rPr>
        <w:t>3.拟接收的推免生必须按教育部规定办理相关手续，手续不全者不予录取。</w:t>
      </w:r>
    </w:p>
    <w:p w14:paraId="76B3CAF3">
      <w:pPr>
        <w:spacing w:line="560" w:lineRule="exact"/>
        <w:ind w:firstLine="640" w:firstLineChars="200"/>
        <w:rPr>
          <w:rFonts w:ascii="黑体" w:hAnsi="黑体" w:eastAsia="黑体"/>
          <w:sz w:val="32"/>
          <w:szCs w:val="32"/>
        </w:rPr>
      </w:pPr>
      <w:r>
        <w:rPr>
          <w:rFonts w:hint="eastAsia" w:ascii="黑体" w:hAnsi="黑体" w:eastAsia="黑体"/>
          <w:sz w:val="32"/>
          <w:szCs w:val="32"/>
        </w:rPr>
        <w:t>五、其它情况说明</w:t>
      </w:r>
    </w:p>
    <w:p w14:paraId="71498AE3">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1.华北电力大学北京校部的招生代码为：10054，我院推荐免试接收工作办公地点及咨询电话：科研楼K</w:t>
      </w:r>
      <w:r>
        <w:rPr>
          <w:rFonts w:ascii="仿宋_GB2312" w:eastAsia="仿宋_GB2312"/>
          <w:sz w:val="32"/>
          <w:szCs w:val="32"/>
        </w:rPr>
        <w:t>4</w:t>
      </w:r>
      <w:r>
        <w:rPr>
          <w:rFonts w:hint="eastAsia" w:ascii="仿宋_GB2312" w:eastAsia="仿宋_GB2312"/>
          <w:sz w:val="32"/>
          <w:szCs w:val="32"/>
        </w:rPr>
        <w:t>17，杨老师，咨询电话010-6177</w:t>
      </w:r>
      <w:r>
        <w:rPr>
          <w:rFonts w:ascii="仿宋_GB2312" w:eastAsia="仿宋_GB2312"/>
          <w:sz w:val="32"/>
          <w:szCs w:val="32"/>
        </w:rPr>
        <w:t>1287</w:t>
      </w:r>
      <w:r>
        <w:rPr>
          <w:rFonts w:hint="eastAsia" w:ascii="仿宋_GB2312" w:eastAsia="仿宋_GB2312"/>
          <w:sz w:val="32"/>
          <w:szCs w:val="32"/>
        </w:rPr>
        <w:t>。</w:t>
      </w:r>
    </w:p>
    <w:p w14:paraId="370D9A8A">
      <w:pPr>
        <w:spacing w:line="560" w:lineRule="exact"/>
        <w:ind w:firstLine="640" w:firstLineChars="200"/>
        <w:rPr>
          <w:rFonts w:ascii="仿宋_GB2312" w:eastAsia="仿宋_GB2312"/>
          <w:sz w:val="32"/>
          <w:szCs w:val="32"/>
        </w:rPr>
      </w:pPr>
      <w:r>
        <w:rPr>
          <w:rFonts w:hint="eastAsia" w:ascii="仿宋_GB2312" w:eastAsia="仿宋_GB2312"/>
          <w:sz w:val="32"/>
          <w:szCs w:val="32"/>
        </w:rPr>
        <w:t>2.有下列情况之一者，将取消其录取资格。</w:t>
      </w:r>
    </w:p>
    <w:p w14:paraId="65E02379">
      <w:pPr>
        <w:spacing w:line="560" w:lineRule="exact"/>
        <w:ind w:firstLine="640" w:firstLineChars="200"/>
        <w:rPr>
          <w:rFonts w:ascii="仿宋_GB2312" w:eastAsia="仿宋_GB2312"/>
          <w:sz w:val="32"/>
          <w:szCs w:val="32"/>
        </w:rPr>
      </w:pPr>
      <w:r>
        <w:rPr>
          <w:rFonts w:hint="eastAsia" w:ascii="仿宋_GB2312" w:eastAsia="仿宋_GB2312"/>
          <w:sz w:val="32"/>
          <w:szCs w:val="32"/>
        </w:rPr>
        <w:t>（1）申请人提供的材料与事实不符，存在舞弊现象。</w:t>
      </w:r>
    </w:p>
    <w:p w14:paraId="72327BAB">
      <w:pPr>
        <w:spacing w:line="560" w:lineRule="exact"/>
        <w:ind w:firstLine="640" w:firstLineChars="200"/>
        <w:rPr>
          <w:rFonts w:ascii="仿宋_GB2312" w:eastAsia="仿宋_GB2312"/>
          <w:sz w:val="32"/>
          <w:szCs w:val="32"/>
        </w:rPr>
      </w:pPr>
      <w:r>
        <w:rPr>
          <w:rFonts w:hint="eastAsia" w:ascii="仿宋_GB2312" w:eastAsia="仿宋_GB2312"/>
          <w:sz w:val="32"/>
          <w:szCs w:val="32"/>
        </w:rPr>
        <w:t>（2）申请人在本科第四学年受到行政纪律处分的。</w:t>
      </w:r>
    </w:p>
    <w:p w14:paraId="31CDAD2C">
      <w:pPr>
        <w:spacing w:line="560" w:lineRule="exact"/>
        <w:ind w:firstLine="640" w:firstLineChars="200"/>
        <w:rPr>
          <w:rFonts w:ascii="仿宋_GB2312" w:eastAsia="仿宋_GB2312"/>
          <w:sz w:val="32"/>
          <w:szCs w:val="32"/>
        </w:rPr>
      </w:pPr>
      <w:r>
        <w:rPr>
          <w:rFonts w:hint="eastAsia" w:ascii="仿宋_GB2312" w:eastAsia="仿宋_GB2312"/>
          <w:sz w:val="32"/>
          <w:szCs w:val="32"/>
        </w:rPr>
        <w:t>（3）在毕业时未获得毕业证书或学士学位证书。</w:t>
      </w:r>
    </w:p>
    <w:p w14:paraId="14FFE9E4">
      <w:pPr>
        <w:spacing w:line="560" w:lineRule="exact"/>
        <w:ind w:firstLine="640" w:firstLineChars="200"/>
        <w:rPr>
          <w:rFonts w:ascii="仿宋_GB2312" w:eastAsia="仿宋_GB2312"/>
          <w:sz w:val="32"/>
          <w:szCs w:val="32"/>
        </w:rPr>
      </w:pPr>
      <w:r>
        <w:rPr>
          <w:rFonts w:hint="eastAsia" w:ascii="仿宋_GB2312" w:eastAsia="仿宋_GB2312"/>
          <w:sz w:val="32"/>
          <w:szCs w:val="32"/>
        </w:rPr>
        <w:t>（4）不符合规定的体检标准或因身体缺陷、疾病而不能继续学习。</w:t>
      </w:r>
    </w:p>
    <w:p w14:paraId="4CE1BC23">
      <w:pPr>
        <w:spacing w:line="560" w:lineRule="exact"/>
        <w:ind w:firstLine="640" w:firstLineChars="200"/>
        <w:rPr>
          <w:rFonts w:ascii="仿宋_GB2312" w:eastAsia="仿宋_GB2312"/>
          <w:sz w:val="32"/>
          <w:szCs w:val="32"/>
        </w:rPr>
      </w:pPr>
      <w:r>
        <w:rPr>
          <w:rFonts w:hint="eastAsia" w:ascii="仿宋_GB2312" w:eastAsia="仿宋_GB2312"/>
          <w:sz w:val="32"/>
          <w:szCs w:val="32"/>
        </w:rPr>
        <w:t>（5）没有获得推免资格的考生。</w:t>
      </w:r>
    </w:p>
    <w:p w14:paraId="18AC356A">
      <w:pPr>
        <w:spacing w:line="560" w:lineRule="exact"/>
        <w:ind w:firstLine="640" w:firstLineChars="200"/>
        <w:rPr>
          <w:rFonts w:ascii="仿宋_GB2312" w:eastAsia="仿宋_GB2312"/>
          <w:sz w:val="32"/>
          <w:szCs w:val="32"/>
        </w:rPr>
      </w:pPr>
      <w:r>
        <w:rPr>
          <w:rFonts w:hint="eastAsia" w:ascii="仿宋_GB2312" w:eastAsia="仿宋_GB2312"/>
          <w:sz w:val="32"/>
          <w:szCs w:val="32"/>
        </w:rPr>
        <w:t>3.研究生院相关通知网址</w:t>
      </w:r>
    </w:p>
    <w:p w14:paraId="0D2668F3">
      <w:pPr>
        <w:spacing w:line="560" w:lineRule="exact"/>
        <w:rPr>
          <w:rFonts w:ascii="仿宋_GB2312" w:eastAsia="仿宋_GB2312"/>
          <w:sz w:val="32"/>
          <w:szCs w:val="32"/>
        </w:rPr>
      </w:pPr>
      <w:r>
        <w:fldChar w:fldCharType="begin"/>
      </w:r>
      <w:r>
        <w:instrText xml:space="preserve"> HYPERLINK "https://yjsy.ncepu.edu.cn/zsxx/sszsxx/154d68f3e0d04945a8f38278772f632c.htm" </w:instrText>
      </w:r>
      <w:r>
        <w:fldChar w:fldCharType="separate"/>
      </w:r>
      <w:r>
        <w:rPr>
          <w:rStyle w:val="6"/>
          <w:rFonts w:hint="eastAsia" w:ascii="仿宋_GB2312" w:eastAsia="仿宋_GB2312"/>
          <w:sz w:val="32"/>
          <w:szCs w:val="32"/>
        </w:rPr>
        <w:t>https://yjsy.ncepu.edu.cn/zsxx/sszsxx/154d68f3e0d04945a8f38278772f632c.htm</w:t>
      </w:r>
      <w:r>
        <w:rPr>
          <w:rStyle w:val="6"/>
          <w:rFonts w:hint="eastAsia" w:ascii="仿宋_GB2312" w:eastAsia="仿宋_GB2312"/>
          <w:sz w:val="32"/>
          <w:szCs w:val="32"/>
        </w:rPr>
        <w:fldChar w:fldCharType="end"/>
      </w:r>
    </w:p>
    <w:p w14:paraId="776535E1">
      <w:pPr>
        <w:spacing w:line="560" w:lineRule="exact"/>
        <w:jc w:val="right"/>
        <w:rPr>
          <w:rFonts w:ascii="仿宋_GB2312" w:eastAsia="仿宋_GB2312"/>
          <w:sz w:val="32"/>
          <w:szCs w:val="32"/>
        </w:rPr>
      </w:pPr>
      <w:r>
        <w:rPr>
          <w:rFonts w:hint="eastAsia" w:ascii="仿宋_GB2312" w:eastAsia="仿宋_GB2312"/>
          <w:sz w:val="32"/>
          <w:szCs w:val="32"/>
        </w:rPr>
        <w:t>华北电力大学</w:t>
      </w:r>
    </w:p>
    <w:p w14:paraId="355D7967">
      <w:pPr>
        <w:spacing w:line="560" w:lineRule="exact"/>
        <w:jc w:val="right"/>
        <w:rPr>
          <w:rFonts w:ascii="仿宋_GB2312" w:eastAsia="仿宋_GB2312"/>
          <w:sz w:val="32"/>
          <w:szCs w:val="32"/>
        </w:rPr>
      </w:pPr>
      <w:r>
        <w:rPr>
          <w:rFonts w:hint="eastAsia" w:ascii="仿宋_GB2312" w:eastAsia="仿宋_GB2312"/>
          <w:sz w:val="32"/>
          <w:szCs w:val="32"/>
        </w:rPr>
        <w:t>能源电力创新研究院</w:t>
      </w:r>
    </w:p>
    <w:p w14:paraId="5372EF82">
      <w:pPr>
        <w:spacing w:line="560" w:lineRule="exact"/>
        <w:jc w:val="right"/>
        <w:rPr>
          <w:rFonts w:ascii="仿宋_GB2312" w:eastAsia="仿宋_GB2312"/>
          <w:sz w:val="32"/>
          <w:szCs w:val="32"/>
        </w:rPr>
      </w:pPr>
      <w:r>
        <w:rPr>
          <w:rFonts w:hint="eastAsia" w:ascii="仿宋_GB2312" w:eastAsia="仿宋_GB2312"/>
          <w:sz w:val="32"/>
          <w:szCs w:val="32"/>
        </w:rPr>
        <w:t>2024年9月</w:t>
      </w:r>
      <w:r>
        <w:rPr>
          <w:rFonts w:ascii="仿宋_GB2312" w:eastAsia="仿宋_GB2312"/>
          <w:sz w:val="32"/>
          <w:szCs w:val="32"/>
        </w:rPr>
        <w:t>20</w:t>
      </w:r>
      <w:r>
        <w:rPr>
          <w:rFonts w:hint="eastAsia" w:ascii="仿宋_GB2312" w:eastAsia="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光标题宋_CNKI">
    <w:altName w:val="宋体"/>
    <w:panose1 w:val="00000000000000000000"/>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805"/>
    <w:rsid w:val="00031462"/>
    <w:rsid w:val="000450EE"/>
    <w:rsid w:val="00086EC0"/>
    <w:rsid w:val="000A3318"/>
    <w:rsid w:val="0014391F"/>
    <w:rsid w:val="0015259B"/>
    <w:rsid w:val="001529DF"/>
    <w:rsid w:val="001A28EF"/>
    <w:rsid w:val="001F3BCB"/>
    <w:rsid w:val="00234785"/>
    <w:rsid w:val="00247463"/>
    <w:rsid w:val="00254C0E"/>
    <w:rsid w:val="00311426"/>
    <w:rsid w:val="003212EA"/>
    <w:rsid w:val="00350BD8"/>
    <w:rsid w:val="003C122A"/>
    <w:rsid w:val="003C35A1"/>
    <w:rsid w:val="00406942"/>
    <w:rsid w:val="00443657"/>
    <w:rsid w:val="004464D2"/>
    <w:rsid w:val="00495FF9"/>
    <w:rsid w:val="004D32F8"/>
    <w:rsid w:val="004E73C2"/>
    <w:rsid w:val="00502B52"/>
    <w:rsid w:val="005E7D53"/>
    <w:rsid w:val="006012C5"/>
    <w:rsid w:val="00610FEB"/>
    <w:rsid w:val="006D7402"/>
    <w:rsid w:val="006D7889"/>
    <w:rsid w:val="006E0148"/>
    <w:rsid w:val="006F3420"/>
    <w:rsid w:val="007031C3"/>
    <w:rsid w:val="007B3549"/>
    <w:rsid w:val="00907327"/>
    <w:rsid w:val="00973393"/>
    <w:rsid w:val="009C1614"/>
    <w:rsid w:val="009D5A2E"/>
    <w:rsid w:val="00A1557C"/>
    <w:rsid w:val="00A7162F"/>
    <w:rsid w:val="00A97805"/>
    <w:rsid w:val="00AD0F67"/>
    <w:rsid w:val="00B70A57"/>
    <w:rsid w:val="00C3449A"/>
    <w:rsid w:val="00C9651D"/>
    <w:rsid w:val="00CE539A"/>
    <w:rsid w:val="00CE56A2"/>
    <w:rsid w:val="00D520E6"/>
    <w:rsid w:val="00D86796"/>
    <w:rsid w:val="00E25932"/>
    <w:rsid w:val="00E606D5"/>
    <w:rsid w:val="00E9717E"/>
    <w:rsid w:val="00EC478C"/>
    <w:rsid w:val="00EE038B"/>
    <w:rsid w:val="00F06E2B"/>
    <w:rsid w:val="00F16E3B"/>
    <w:rsid w:val="00FC41CC"/>
    <w:rsid w:val="00FF0783"/>
    <w:rsid w:val="2B912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7"/>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Hyperlink"/>
    <w:basedOn w:val="5"/>
    <w:unhideWhenUsed/>
    <w:uiPriority w:val="99"/>
    <w:rPr>
      <w:color w:val="0000FF"/>
      <w:u w:val="single"/>
    </w:rPr>
  </w:style>
  <w:style w:type="character" w:customStyle="1" w:styleId="7">
    <w:name w:val="标题 2 字符"/>
    <w:basedOn w:val="5"/>
    <w:link w:val="2"/>
    <w:uiPriority w:val="9"/>
    <w:rPr>
      <w:rFonts w:ascii="宋体" w:hAnsi="宋体" w:eastAsia="宋体" w:cs="宋体"/>
      <w:b/>
      <w:bCs/>
      <w:kern w:val="0"/>
      <w:sz w:val="36"/>
      <w:szCs w:val="36"/>
    </w:rPr>
  </w:style>
  <w:style w:type="paragraph" w:customStyle="1" w:styleId="8">
    <w:name w:val="gpcmsimg"/>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2088</Words>
  <Characters>2449</Characters>
  <Lines>19</Lines>
  <Paragraphs>5</Paragraphs>
  <TotalTime>134</TotalTime>
  <ScaleCrop>false</ScaleCrop>
  <LinksUpToDate>false</LinksUpToDate>
  <CharactersWithSpaces>2451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2024-09-20T05:12:00Z</dcterms:created>
  <dc:creator>lenovo</dc:creator>
  <cp:lastModifiedBy>韦扬萱</cp:lastModifiedBy>
  <dcterms:modified xsi:type="dcterms:W3CDTF">2026-06-04T02:09:08Z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39D744F78B0B45F380E64745603D672C_13</vt:lpwstr>
  </property>
</Properties>
</file>